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4B" w:rsidRPr="009B55DA" w:rsidRDefault="005A644B" w:rsidP="005A644B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217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BIOLINERX</w:t>
      </w:r>
      <w:bookmarkEnd w:id="0"/>
      <w:r w:rsidRPr="009B55DA">
        <w:rPr>
          <w:rStyle w:val="Strong"/>
          <w:rFonts w:ascii="Calibri" w:hAnsi="Calibri"/>
          <w:noProof/>
          <w:sz w:val="22"/>
          <w:szCs w:val="22"/>
        </w:rPr>
        <w:t xml:space="preserve"> DEVELOPING</w:t>
      </w:r>
      <w:r w:rsidRPr="009B55DA">
        <w:rPr>
          <w:rStyle w:val="Strong"/>
          <w:rFonts w:ascii="Calibri" w:hAnsi="Calibri"/>
          <w:sz w:val="22"/>
          <w:szCs w:val="22"/>
        </w:rPr>
        <w:t xml:space="preserve"> BL-8040: A CXCR4 ANTAGONIST WHICH COULD IMPROVE THE ACTIVITY OF IMMUNE CHECKPOINT INHIBITORS</w:t>
      </w:r>
    </w:p>
    <w:p w:rsidR="005A644B" w:rsidRDefault="005A644B" w:rsidP="005A644B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5A644B" w:rsidRPr="009B55DA" w:rsidRDefault="005A644B" w:rsidP="005A644B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David Malek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Yaron  Pereg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Tomer Bahar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Biolinerx</w:t>
      </w:r>
    </w:p>
    <w:p w:rsidR="005A644B" w:rsidRPr="00D41020" w:rsidRDefault="005A644B" w:rsidP="005A644B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5A644B" w:rsidRPr="00D41020" w:rsidRDefault="005A644B" w:rsidP="005A644B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D41020">
        <w:rPr>
          <w:rFonts w:ascii="Calibri" w:eastAsia="Calibri" w:hAnsi="Calibri"/>
          <w:b/>
          <w:bCs/>
          <w:sz w:val="22"/>
          <w:szCs w:val="22"/>
        </w:rPr>
        <w:t xml:space="preserve">Questions for </w:t>
      </w:r>
      <w:r w:rsidRPr="00350618">
        <w:rPr>
          <w:rFonts w:ascii="Calibri" w:eastAsia="Calibri" w:hAnsi="Calibri"/>
          <w:b/>
          <w:bCs/>
          <w:sz w:val="22"/>
          <w:szCs w:val="22"/>
        </w:rPr>
        <w:t>Biotech/Pharma</w:t>
      </w:r>
      <w:r>
        <w:rPr>
          <w:rFonts w:ascii="Calibri" w:eastAsia="Calibri" w:hAnsi="Calibri"/>
          <w:b/>
          <w:bCs/>
          <w:sz w:val="22"/>
          <w:szCs w:val="22"/>
        </w:rPr>
        <w:t xml:space="preserve">; </w:t>
      </w:r>
      <w:r w:rsidRPr="00350618">
        <w:rPr>
          <w:rFonts w:ascii="Calibri" w:eastAsia="Calibri" w:hAnsi="Calibri"/>
          <w:b/>
          <w:bCs/>
          <w:sz w:val="22"/>
          <w:szCs w:val="22"/>
        </w:rPr>
        <w:t>Medical Devices</w:t>
      </w:r>
      <w:r>
        <w:rPr>
          <w:rFonts w:ascii="Calibri" w:eastAsia="Calibri" w:hAnsi="Calibri"/>
          <w:b/>
          <w:bCs/>
          <w:sz w:val="22"/>
          <w:szCs w:val="22"/>
        </w:rPr>
        <w:t xml:space="preserve"> and </w:t>
      </w:r>
      <w:r w:rsidRPr="00350618">
        <w:rPr>
          <w:rFonts w:ascii="Calibri" w:eastAsia="Calibri" w:hAnsi="Calibri"/>
          <w:b/>
          <w:bCs/>
          <w:sz w:val="22"/>
          <w:szCs w:val="22"/>
        </w:rPr>
        <w:t>Health IT/Digital Health</w:t>
      </w:r>
      <w:r w:rsidRPr="00D41020">
        <w:rPr>
          <w:rFonts w:ascii="Calibri" w:eastAsia="Calibri" w:hAnsi="Calibri"/>
          <w:b/>
          <w:bCs/>
          <w:sz w:val="22"/>
          <w:szCs w:val="22"/>
        </w:rPr>
        <w:t xml:space="preserve"> categor</w:t>
      </w:r>
      <w:r>
        <w:rPr>
          <w:rFonts w:ascii="Calibri" w:eastAsia="Calibri" w:hAnsi="Calibri"/>
          <w:b/>
          <w:bCs/>
          <w:sz w:val="22"/>
          <w:szCs w:val="22"/>
        </w:rPr>
        <w:t>ies</w:t>
      </w:r>
      <w:r w:rsidRPr="00D41020">
        <w:rPr>
          <w:rFonts w:ascii="Calibri" w:eastAsia="Calibri" w:hAnsi="Calibri"/>
          <w:b/>
          <w:bCs/>
          <w:sz w:val="22"/>
          <w:szCs w:val="22"/>
        </w:rPr>
        <w:t xml:space="preserve"> are:</w:t>
      </w:r>
    </w:p>
    <w:p w:rsidR="005A644B" w:rsidRPr="00D41020" w:rsidRDefault="005A644B" w:rsidP="005A644B">
      <w:pPr>
        <w:pStyle w:val="Normal0"/>
        <w:rPr>
          <w:rFonts w:ascii="Calibri" w:eastAsia="Calibri" w:hAnsi="Calibri"/>
          <w:b/>
          <w:bCs/>
          <w:color w:val="E36C0A"/>
          <w:sz w:val="22"/>
          <w:szCs w:val="22"/>
        </w:rPr>
      </w:pPr>
      <w:r w:rsidRPr="00D41020">
        <w:rPr>
          <w:rStyle w:val="ft"/>
          <w:rFonts w:ascii="Calibri" w:eastAsia="Calibri" w:hAnsi="Calibri"/>
          <w:color w:val="E36C0A"/>
          <w:sz w:val="22"/>
          <w:szCs w:val="22"/>
        </w:rPr>
        <w:t xml:space="preserve">     </w:t>
      </w:r>
      <w:r w:rsidRPr="00D41020">
        <w:rPr>
          <w:rStyle w:val="ft"/>
          <w:rFonts w:ascii="Calibri" w:eastAsia="Calibri" w:hAnsi="Calibri"/>
          <w:b/>
          <w:bCs/>
          <w:color w:val="E36C0A"/>
          <w:sz w:val="22"/>
          <w:szCs w:val="22"/>
        </w:rPr>
        <w:t>Answers should not exceed 60</w:t>
      </w:r>
      <w:r w:rsidRPr="00D41020">
        <w:rPr>
          <w:rStyle w:val="ft"/>
          <w:rFonts w:ascii="Calibri" w:eastAsia="Calibri" w:hAnsi="Calibri" w:cs="Arial"/>
          <w:color w:val="E36C0A"/>
          <w:sz w:val="22"/>
          <w:szCs w:val="22"/>
        </w:rPr>
        <w:t xml:space="preserve"> </w:t>
      </w:r>
      <w:r w:rsidRPr="00D41020">
        <w:rPr>
          <w:rStyle w:val="ft"/>
          <w:rFonts w:ascii="Calibri" w:eastAsia="Calibri" w:hAnsi="Calibri"/>
          <w:b/>
          <w:bCs/>
          <w:color w:val="E36C0A"/>
          <w:sz w:val="22"/>
          <w:szCs w:val="22"/>
        </w:rPr>
        <w:t>words per question</w:t>
      </w:r>
    </w:p>
    <w:p w:rsidR="005A644B" w:rsidRDefault="005A644B" w:rsidP="005A644B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b/>
          <w:bCs/>
          <w:color w:val="24231E"/>
          <w:sz w:val="22"/>
          <w:szCs w:val="22"/>
        </w:rPr>
        <w:t xml:space="preserve">Investment </w:t>
      </w:r>
      <w:r w:rsidRPr="00660643">
        <w:rPr>
          <w:rFonts w:ascii="Calibri" w:hAnsi="Calibri"/>
          <w:b/>
          <w:bCs/>
          <w:color w:val="24231E"/>
          <w:sz w:val="22"/>
          <w:szCs w:val="22"/>
        </w:rPr>
        <w:t>Rational</w:t>
      </w:r>
      <w:r w:rsidRPr="00660643">
        <w:rPr>
          <w:rFonts w:ascii="Calibri" w:hAnsi="Calibri"/>
          <w:color w:val="24231E"/>
          <w:sz w:val="22"/>
          <w:szCs w:val="22"/>
        </w:rPr>
        <w:t xml:space="preserve"> </w:t>
      </w:r>
      <w:r w:rsidRPr="00660643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BioLineRx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is a publicly-traded (NASDAQ/TASE), clinical-stage company, primarily focused on oncology and immunology. </w:t>
      </w:r>
      <w:proofErr w:type="spellStart"/>
      <w:r>
        <w:rPr>
          <w:rFonts w:ascii="Calibri" w:hAnsi="Calibri"/>
          <w:color w:val="24231E"/>
          <w:sz w:val="22"/>
          <w:szCs w:val="22"/>
        </w:rPr>
        <w:t>BioLineRx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has a strategic collaboration with Novartis for identification and development of innovative drug candidates. BL-8040, the company’s lead asset, is a novel CXCR4 antagonist, developed for solid and hematological malignancies. BL-8040 in combination with KEYTRUDA is being developed for pancreatic cancer,</w:t>
      </w:r>
      <w:r w:rsidRPr="00F2069C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in collaboration with Merck (MSD).  </w:t>
      </w:r>
    </w:p>
    <w:p w:rsidR="005A644B" w:rsidRPr="00660643" w:rsidRDefault="005A644B" w:rsidP="005A644B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 w:rsidRPr="00660643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660643">
        <w:rPr>
          <w:rFonts w:ascii="Calibri" w:hAnsi="Calibri"/>
          <w:color w:val="24231E"/>
          <w:sz w:val="22"/>
          <w:szCs w:val="22"/>
        </w:rPr>
        <w:t xml:space="preserve"> </w:t>
      </w:r>
      <w:r w:rsidRPr="00660643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BioLineRx's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close ties with research institutions and biotechnology companies, both in Israel and globally, enable access to promising early stage projects. </w:t>
      </w:r>
      <w:proofErr w:type="spellStart"/>
      <w:r>
        <w:rPr>
          <w:rFonts w:ascii="Calibri" w:hAnsi="Calibri"/>
          <w:color w:val="24231E"/>
          <w:sz w:val="22"/>
          <w:szCs w:val="22"/>
        </w:rPr>
        <w:t>BioLineRx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in-licenses promising projects and further develops them through pre-clinical and clinical stages usually through Phase II </w:t>
      </w:r>
      <w:proofErr w:type="spellStart"/>
      <w:r>
        <w:rPr>
          <w:rFonts w:ascii="Calibri" w:hAnsi="Calibri"/>
          <w:color w:val="24231E"/>
          <w:sz w:val="22"/>
          <w:szCs w:val="22"/>
        </w:rPr>
        <w:t>PoC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in humans. The company partners with medium and large size pharmaceutical companies to complete the clinical development and commercialization.</w:t>
      </w:r>
    </w:p>
    <w:p w:rsidR="005A644B" w:rsidRPr="00D41020" w:rsidRDefault="005A644B" w:rsidP="005A644B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 xml:space="preserve">BL-8040 is a best in class CXCR4 antagonist with dual anti-tumor activity. It induces directory migration of anti-tumor T-cells and selectively reduces </w:t>
      </w:r>
      <w:proofErr w:type="spellStart"/>
      <w:r>
        <w:rPr>
          <w:rFonts w:ascii="Calibri" w:hAnsi="Calibri"/>
          <w:color w:val="24231E"/>
          <w:sz w:val="22"/>
          <w:szCs w:val="22"/>
        </w:rPr>
        <w:t>intratumoral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accumulation of immune suppressor cells. BL-8040 also directly induces</w:t>
      </w:r>
      <w:r>
        <w:rPr>
          <w:rFonts w:ascii="Calibri" w:eastAsia="Calibri" w:hAnsi="Calibri"/>
          <w:color w:val="24231E"/>
          <w:sz w:val="22"/>
          <w:szCs w:val="22"/>
        </w:rPr>
        <w:t xml:space="preserve"> CXCR4-dependent apoptosis in cancer cells. C</w:t>
      </w:r>
      <w:r>
        <w:rPr>
          <w:rFonts w:ascii="Calibri" w:hAnsi="Calibri"/>
          <w:color w:val="24231E"/>
          <w:sz w:val="22"/>
          <w:szCs w:val="22"/>
        </w:rPr>
        <w:t>ombination of BL-8040 with immune checkpoints inhibitors can potentially expand the benefit of immunotherapy to cancer types currently resistant to immuno-oncology treatments.</w:t>
      </w:r>
    </w:p>
    <w:p w:rsidR="005A644B" w:rsidRPr="00D41020" w:rsidRDefault="005A644B" w:rsidP="005A644B">
      <w:pPr>
        <w:pStyle w:val="Normal0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>BL-8040 is currently undergoing multiple Phase 2 trials for the treatment of AML, stem cell mobilization and for bone marrow failure indications. BL-8040 will also be assessed in a Phase 2 study in combination with KEYTRUDA (</w:t>
      </w:r>
      <w:proofErr w:type="spellStart"/>
      <w:r>
        <w:rPr>
          <w:rFonts w:ascii="Calibri" w:hAnsi="Calibri"/>
          <w:color w:val="24231E"/>
          <w:sz w:val="22"/>
          <w:szCs w:val="22"/>
        </w:rPr>
        <w:t>pembrolizumab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; PD1 </w:t>
      </w:r>
      <w:proofErr w:type="spellStart"/>
      <w:r>
        <w:rPr>
          <w:rFonts w:ascii="Calibri" w:hAnsi="Calibri"/>
          <w:color w:val="24231E"/>
          <w:sz w:val="22"/>
          <w:szCs w:val="22"/>
        </w:rPr>
        <w:t>mAb</w:t>
      </w:r>
      <w:proofErr w:type="spellEnd"/>
      <w:r>
        <w:rPr>
          <w:rFonts w:ascii="Calibri" w:hAnsi="Calibri"/>
          <w:color w:val="24231E"/>
          <w:sz w:val="22"/>
          <w:szCs w:val="22"/>
        </w:rPr>
        <w:t>) in patients with metastatic pancreatic adenocarcinoma, t</w:t>
      </w:r>
      <w:r w:rsidRPr="0013320D">
        <w:rPr>
          <w:rFonts w:ascii="Calibri" w:hAnsi="Calibri"/>
          <w:color w:val="24231E"/>
          <w:sz w:val="22"/>
          <w:szCs w:val="22"/>
        </w:rPr>
        <w:t>he most common type of pancreatic cancer</w:t>
      </w:r>
      <w:r>
        <w:rPr>
          <w:rFonts w:ascii="Calibri" w:hAnsi="Calibri"/>
          <w:color w:val="24231E"/>
          <w:sz w:val="22"/>
          <w:szCs w:val="22"/>
        </w:rPr>
        <w:t xml:space="preserve">, as part of collaboration with Merck (MSD).  </w:t>
      </w:r>
    </w:p>
    <w:p w:rsidR="005A644B" w:rsidRDefault="005A644B" w:rsidP="005A644B">
      <w:pPr>
        <w:pStyle w:val="Normal0"/>
        <w:spacing w:before="100" w:beforeAutospacing="1" w:after="100" w:afterAutospacing="1" w:line="255" w:lineRule="atLeast"/>
        <w:ind w:left="708"/>
        <w:rPr>
          <w:rFonts w:ascii="Calibri" w:hAnsi="Calibri"/>
          <w:color w:val="24231E"/>
          <w:sz w:val="22"/>
          <w:szCs w:val="22"/>
        </w:rPr>
      </w:pPr>
      <w:r w:rsidRPr="00660643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660643">
        <w:rPr>
          <w:rFonts w:ascii="Calibri" w:hAnsi="Calibri"/>
          <w:color w:val="24231E"/>
          <w:sz w:val="22"/>
          <w:szCs w:val="22"/>
        </w:rPr>
        <w:t xml:space="preserve"> </w:t>
      </w:r>
      <w:r w:rsidRPr="00660643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BioLineRx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plans to increase its immuno-oncology activity by in-licensing additional novel immunotherapy agents. In addition, </w:t>
      </w:r>
      <w:proofErr w:type="spellStart"/>
      <w:r>
        <w:rPr>
          <w:rFonts w:ascii="Calibri" w:hAnsi="Calibri"/>
          <w:color w:val="24231E"/>
          <w:sz w:val="22"/>
          <w:szCs w:val="22"/>
        </w:rPr>
        <w:t>BioLineRx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will continue to broaden the development of BL-8040 in the field of immunotherapy by collaborating with additional pharmaceutical companies to evaluate the potential of combination immunotherapy of BL-8040 with immune checkpoints inhibitors in additional hematological and solid tumor unmet indications. </w:t>
      </w:r>
    </w:p>
    <w:p w:rsidR="00AB3AFF" w:rsidRPr="005A644B" w:rsidRDefault="00AB3AFF"/>
    <w:sectPr w:rsidR="00AB3AFF" w:rsidRPr="005A644B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B"/>
    <w:rsid w:val="005A644B"/>
    <w:rsid w:val="006C6F2B"/>
    <w:rsid w:val="00A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AA3E-AB6D-4D2C-ADF7-7E489B53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A644B"/>
    <w:rPr>
      <w:b/>
      <w:bCs/>
    </w:rPr>
  </w:style>
  <w:style w:type="paragraph" w:styleId="NormalWeb">
    <w:name w:val="Normal (Web)"/>
    <w:basedOn w:val="Normal"/>
    <w:rsid w:val="005A644B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5A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t">
    <w:name w:val="ft"/>
    <w:basedOn w:val="DefaultParagraphFont"/>
    <w:rsid w:val="005A6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2016-05-25T18:19:00Z</dcterms:created>
  <dcterms:modified xsi:type="dcterms:W3CDTF">2016-05-25T18:19:00Z</dcterms:modified>
</cp:coreProperties>
</file>