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E3" w:rsidRPr="009B55DA" w:rsidRDefault="00E637E3" w:rsidP="00E637E3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167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bookmarkStart w:id="0" w:name="_GoBack"/>
      <w:r w:rsidRPr="009B55DA">
        <w:rPr>
          <w:rStyle w:val="Strong"/>
          <w:rFonts w:ascii="Calibri" w:hAnsi="Calibri"/>
          <w:noProof/>
          <w:sz w:val="22"/>
          <w:szCs w:val="22"/>
        </w:rPr>
        <w:t>CUREWIZE</w:t>
      </w:r>
      <w:bookmarkEnd w:id="0"/>
      <w:r w:rsidRPr="009B55DA">
        <w:rPr>
          <w:rStyle w:val="Strong"/>
          <w:rFonts w:ascii="Calibri" w:hAnsi="Calibri"/>
          <w:noProof/>
          <w:sz w:val="22"/>
          <w:szCs w:val="22"/>
        </w:rPr>
        <w:t xml:space="preserve"> -</w:t>
      </w:r>
      <w:r w:rsidRPr="009B55DA">
        <w:rPr>
          <w:rStyle w:val="Strong"/>
          <w:rFonts w:ascii="Calibri" w:hAnsi="Calibri"/>
          <w:sz w:val="22"/>
          <w:szCs w:val="22"/>
        </w:rPr>
        <w:t xml:space="preserve"> COMMERCIALIZING MIRNA LAB TESTS FOR PERSONALIZED TREATMENT OF CANCERS</w:t>
      </w:r>
    </w:p>
    <w:p w:rsidR="00E637E3" w:rsidRDefault="00E637E3" w:rsidP="00E637E3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E637E3" w:rsidRPr="009B55DA" w:rsidRDefault="00E637E3" w:rsidP="00E637E3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Jennifer Yarden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</w:rPr>
        <w:t>Nir Dotan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2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</w:rPr>
        <w:t>Keren Shichrur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2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</w:rPr>
        <w:t>Smadar Avigad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3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Bioshai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2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Curewize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3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Schneider Children's</w:t>
      </w:r>
      <w:r w:rsidRPr="005A0CDA">
        <w:rPr>
          <w:rFonts w:ascii="Calibri" w:hAnsi="Calibri"/>
          <w:b/>
          <w:sz w:val="22"/>
          <w:szCs w:val="22"/>
        </w:rPr>
        <w:t xml:space="preserve"> Medical Center of Israel</w:t>
      </w:r>
    </w:p>
    <w:p w:rsidR="00E637E3" w:rsidRPr="006C43E7" w:rsidRDefault="00E637E3" w:rsidP="00E637E3">
      <w:pPr>
        <w:pStyle w:val="Normal0"/>
        <w:numPr>
          <w:ilvl w:val="0"/>
          <w:numId w:val="1"/>
        </w:numPr>
        <w:autoSpaceDE w:val="0"/>
        <w:autoSpaceDN w:val="0"/>
        <w:adjustRightInd w:val="0"/>
        <w:spacing w:before="20" w:beforeAutospacing="1" w:after="20" w:afterAutospacing="1" w:line="255" w:lineRule="atLeast"/>
        <w:ind w:left="360" w:right="79"/>
        <w:jc w:val="both"/>
        <w:rPr>
          <w:rFonts w:ascii="Verdana" w:eastAsia="Calibri" w:hAnsi="Verdana" w:cs="Arial"/>
        </w:rPr>
      </w:pPr>
      <w:r w:rsidRPr="006C43E7">
        <w:rPr>
          <w:rFonts w:ascii="Calibri" w:hAnsi="Calibri"/>
          <w:b/>
          <w:bCs/>
          <w:color w:val="24231E"/>
          <w:sz w:val="22"/>
          <w:szCs w:val="22"/>
        </w:rPr>
        <w:t>Investment Rational</w:t>
      </w:r>
      <w:r w:rsidRPr="006C43E7">
        <w:rPr>
          <w:rFonts w:ascii="Calibri" w:hAnsi="Calibri"/>
          <w:color w:val="24231E"/>
          <w:sz w:val="22"/>
          <w:szCs w:val="22"/>
        </w:rPr>
        <w:t xml:space="preserve"> </w:t>
      </w:r>
      <w:proofErr w:type="spellStart"/>
      <w:r w:rsidRPr="006C43E7">
        <w:rPr>
          <w:rFonts w:ascii="Verdana" w:eastAsia="Calibri" w:hAnsi="Verdana" w:cs="Arial"/>
        </w:rPr>
        <w:t>Curewize</w:t>
      </w:r>
      <w:proofErr w:type="spellEnd"/>
      <w:r w:rsidRPr="006C43E7">
        <w:rPr>
          <w:rFonts w:ascii="Verdana" w:eastAsia="Calibri" w:hAnsi="Verdana" w:cs="Arial"/>
        </w:rPr>
        <w:t xml:space="preserve"> is commercializing </w:t>
      </w:r>
      <w:proofErr w:type="spellStart"/>
      <w:r w:rsidRPr="006C43E7">
        <w:rPr>
          <w:rFonts w:ascii="Verdana" w:eastAsia="Calibri" w:hAnsi="Verdana" w:cs="Arial"/>
        </w:rPr>
        <w:t>ProALL</w:t>
      </w:r>
      <w:r w:rsidRPr="006C43E7">
        <w:rPr>
          <w:rFonts w:ascii="Verdana" w:eastAsia="Calibri" w:hAnsi="Verdana" w:cs="Arial"/>
          <w:vertAlign w:val="superscript"/>
        </w:rPr>
        <w:t>TM</w:t>
      </w:r>
      <w:proofErr w:type="spellEnd"/>
      <w:r w:rsidRPr="006C43E7">
        <w:rPr>
          <w:rFonts w:ascii="Verdana" w:eastAsia="Calibri" w:hAnsi="Verdana" w:cs="Arial"/>
        </w:rPr>
        <w:t>, a groundbreaking lab test for aiding in treatment decisions and monitoring of acute lymph</w:t>
      </w:r>
      <w:r>
        <w:rPr>
          <w:rFonts w:ascii="Verdana" w:eastAsia="Calibri" w:hAnsi="Verdana" w:cs="Arial"/>
        </w:rPr>
        <w:t>oblastic leukemia (ALL)</w:t>
      </w:r>
      <w:r w:rsidRPr="006C43E7">
        <w:rPr>
          <w:rFonts w:ascii="Verdana" w:eastAsia="Calibri" w:hAnsi="Verdana" w:cs="Arial"/>
        </w:rPr>
        <w:t xml:space="preserve">. </w:t>
      </w:r>
      <w:proofErr w:type="spellStart"/>
      <w:r w:rsidRPr="006C43E7">
        <w:rPr>
          <w:rFonts w:ascii="Verdana" w:eastAsia="MS Mincho" w:hAnsi="Verdana" w:cs="Arial"/>
          <w:lang w:eastAsia="ja-JP" w:bidi="ar-SA"/>
        </w:rPr>
        <w:t>Curewize</w:t>
      </w:r>
      <w:proofErr w:type="spellEnd"/>
      <w:r w:rsidRPr="006C43E7">
        <w:rPr>
          <w:rFonts w:ascii="Verdana" w:eastAsia="MS Mincho" w:hAnsi="Verdana" w:cs="Arial"/>
          <w:lang w:eastAsia="ja-JP" w:bidi="ar-SA"/>
        </w:rPr>
        <w:t xml:space="preserve"> gains value from management experienced in successfully taking a lab test from concept to sales</w:t>
      </w:r>
      <w:r>
        <w:rPr>
          <w:rFonts w:ascii="Verdana" w:eastAsia="MS Mincho" w:hAnsi="Verdana" w:cs="Arial"/>
          <w:lang w:eastAsia="ja-JP" w:bidi="ar-SA"/>
        </w:rPr>
        <w:t xml:space="preserve"> and a large biomarker pipeline for several </w:t>
      </w:r>
      <w:r w:rsidRPr="006C43E7">
        <w:rPr>
          <w:rFonts w:ascii="Verdana" w:eastAsia="MS Mincho" w:hAnsi="Verdana" w:cs="Arial"/>
          <w:lang w:eastAsia="ja-JP" w:bidi="ar-SA"/>
        </w:rPr>
        <w:t xml:space="preserve">cancers. </w:t>
      </w:r>
      <w:proofErr w:type="spellStart"/>
      <w:r w:rsidRPr="006C43E7">
        <w:rPr>
          <w:rFonts w:ascii="Verdana" w:eastAsia="MS Mincho" w:hAnsi="Verdana" w:cs="Arial"/>
          <w:lang w:eastAsia="ja-JP" w:bidi="ar-SA"/>
        </w:rPr>
        <w:t>Curewize</w:t>
      </w:r>
      <w:proofErr w:type="spellEnd"/>
      <w:r w:rsidRPr="006C43E7">
        <w:rPr>
          <w:rFonts w:ascii="Verdana" w:eastAsia="MS Mincho" w:hAnsi="Verdana" w:cs="Arial"/>
          <w:lang w:eastAsia="ja-JP" w:bidi="ar-SA"/>
        </w:rPr>
        <w:t xml:space="preserve"> is col</w:t>
      </w:r>
      <w:r>
        <w:rPr>
          <w:rFonts w:ascii="Verdana" w:eastAsia="MS Mincho" w:hAnsi="Verdana" w:cs="Arial"/>
          <w:lang w:eastAsia="ja-JP" w:bidi="ar-SA"/>
        </w:rPr>
        <w:t xml:space="preserve">laborating with an oncology </w:t>
      </w:r>
      <w:r w:rsidRPr="006C43E7">
        <w:rPr>
          <w:rFonts w:ascii="Verdana" w:eastAsia="MS Mincho" w:hAnsi="Verdana" w:cs="Arial"/>
          <w:lang w:eastAsia="ja-JP" w:bidi="ar-SA"/>
        </w:rPr>
        <w:t xml:space="preserve">group for the validation of </w:t>
      </w:r>
      <w:proofErr w:type="spellStart"/>
      <w:r w:rsidRPr="006C43E7">
        <w:rPr>
          <w:rFonts w:ascii="Verdana" w:eastAsia="MS Mincho" w:hAnsi="Verdana" w:cs="Arial"/>
          <w:lang w:eastAsia="ja-JP" w:bidi="ar-SA"/>
        </w:rPr>
        <w:t>ProALL</w:t>
      </w:r>
      <w:proofErr w:type="spellEnd"/>
      <w:r w:rsidRPr="006C43E7">
        <w:rPr>
          <w:rFonts w:ascii="Verdana" w:eastAsia="MS Mincho" w:hAnsi="Verdana" w:cs="Arial"/>
          <w:lang w:eastAsia="ja-JP" w:bidi="ar-SA"/>
        </w:rPr>
        <w:t xml:space="preserve"> on additional ALL patients.</w:t>
      </w:r>
    </w:p>
    <w:p w:rsidR="00E637E3" w:rsidRDefault="00E637E3" w:rsidP="00E637E3">
      <w:pPr>
        <w:pStyle w:val="Normal0"/>
        <w:numPr>
          <w:ilvl w:val="0"/>
          <w:numId w:val="1"/>
        </w:numPr>
        <w:autoSpaceDE w:val="0"/>
        <w:autoSpaceDN w:val="0"/>
        <w:adjustRightInd w:val="0"/>
        <w:spacing w:before="20" w:beforeAutospacing="1" w:after="20" w:afterAutospacing="1" w:line="255" w:lineRule="atLeast"/>
        <w:ind w:left="360" w:right="79"/>
        <w:jc w:val="both"/>
        <w:rPr>
          <w:rFonts w:ascii="Verdana" w:eastAsia="Calibri" w:hAnsi="Verdana" w:cs="Arial"/>
        </w:rPr>
      </w:pPr>
      <w:r w:rsidRPr="006C43E7">
        <w:rPr>
          <w:rFonts w:ascii="Calibri" w:hAnsi="Calibri"/>
          <w:b/>
          <w:bCs/>
          <w:color w:val="24231E"/>
          <w:sz w:val="22"/>
          <w:szCs w:val="22"/>
        </w:rPr>
        <w:t>Business Strategy</w:t>
      </w:r>
      <w:r w:rsidRPr="006C43E7">
        <w:rPr>
          <w:rFonts w:ascii="Calibri" w:hAnsi="Calibri"/>
          <w:color w:val="24231E"/>
          <w:sz w:val="22"/>
          <w:szCs w:val="22"/>
        </w:rPr>
        <w:t xml:space="preserve"> </w:t>
      </w:r>
      <w:proofErr w:type="spellStart"/>
      <w:r w:rsidRPr="006C43E7">
        <w:rPr>
          <w:rFonts w:ascii="Verdana" w:eastAsia="Calibri" w:hAnsi="Verdana" w:cs="Arial"/>
        </w:rPr>
        <w:t>ProALL</w:t>
      </w:r>
      <w:proofErr w:type="spellEnd"/>
      <w:r w:rsidRPr="006C43E7">
        <w:rPr>
          <w:rFonts w:ascii="Verdana" w:eastAsia="Calibri" w:hAnsi="Verdana" w:cs="Arial"/>
        </w:rPr>
        <w:t xml:space="preserve"> will be marketed to centralized oncology groups for identifying ALL patients who need intense treatment. In 2018, </w:t>
      </w:r>
      <w:proofErr w:type="spellStart"/>
      <w:r w:rsidRPr="006C43E7">
        <w:rPr>
          <w:rFonts w:ascii="Verdana" w:eastAsia="Calibri" w:hAnsi="Verdana" w:cs="Arial"/>
        </w:rPr>
        <w:t>ProALL</w:t>
      </w:r>
      <w:proofErr w:type="spellEnd"/>
      <w:r w:rsidRPr="006C43E7">
        <w:rPr>
          <w:rFonts w:ascii="Verdana" w:eastAsia="Calibri" w:hAnsi="Verdana" w:cs="Arial"/>
        </w:rPr>
        <w:t xml:space="preserve"> is planned to be available from laboratories in USA and Europe. By 2020, </w:t>
      </w:r>
      <w:proofErr w:type="spellStart"/>
      <w:r w:rsidRPr="006C43E7">
        <w:rPr>
          <w:rFonts w:ascii="Verdana" w:eastAsia="Calibri" w:hAnsi="Verdana" w:cs="Arial"/>
        </w:rPr>
        <w:t>Curewize</w:t>
      </w:r>
      <w:proofErr w:type="spellEnd"/>
      <w:r w:rsidRPr="006C43E7">
        <w:rPr>
          <w:rFonts w:ascii="Verdana" w:eastAsia="Calibri" w:hAnsi="Verdana" w:cs="Arial"/>
        </w:rPr>
        <w:t xml:space="preserve"> aims to launch </w:t>
      </w:r>
      <w:proofErr w:type="spellStart"/>
      <w:r w:rsidRPr="006C43E7">
        <w:rPr>
          <w:rFonts w:ascii="Verdana" w:eastAsia="Calibri" w:hAnsi="Verdana" w:cs="Arial"/>
        </w:rPr>
        <w:t>ProALL’s</w:t>
      </w:r>
      <w:proofErr w:type="spellEnd"/>
      <w:r w:rsidRPr="006C43E7">
        <w:rPr>
          <w:rFonts w:ascii="Verdana" w:eastAsia="Calibri" w:hAnsi="Verdana" w:cs="Arial"/>
        </w:rPr>
        <w:t xml:space="preserve"> monitoring assay.  </w:t>
      </w:r>
      <w:proofErr w:type="spellStart"/>
      <w:r w:rsidRPr="006C43E7">
        <w:rPr>
          <w:rFonts w:ascii="Verdana" w:eastAsia="Calibri" w:hAnsi="Verdana" w:cs="Arial"/>
        </w:rPr>
        <w:t>Curewize</w:t>
      </w:r>
      <w:proofErr w:type="spellEnd"/>
      <w:r w:rsidRPr="006C43E7">
        <w:rPr>
          <w:rFonts w:ascii="Verdana" w:eastAsia="Calibri" w:hAnsi="Verdana" w:cs="Arial"/>
        </w:rPr>
        <w:t xml:space="preserve"> R&amp;D team are developing additional tests for aiding in the personalized treatment of other cancer patients, increasing long term revenues. </w:t>
      </w:r>
    </w:p>
    <w:p w:rsidR="00E637E3" w:rsidRDefault="00E637E3" w:rsidP="00E637E3">
      <w:pPr>
        <w:pStyle w:val="Normal0"/>
        <w:numPr>
          <w:ilvl w:val="0"/>
          <w:numId w:val="1"/>
        </w:numPr>
        <w:autoSpaceDE w:val="0"/>
        <w:autoSpaceDN w:val="0"/>
        <w:adjustRightInd w:val="0"/>
        <w:spacing w:before="20" w:beforeAutospacing="1" w:after="20" w:afterAutospacing="1" w:line="255" w:lineRule="atLeast"/>
        <w:ind w:left="360" w:right="79"/>
        <w:jc w:val="both"/>
        <w:rPr>
          <w:rFonts w:ascii="Verdana" w:eastAsia="Calibri" w:hAnsi="Verdana" w:cs="Arial"/>
        </w:rPr>
      </w:pPr>
      <w:r w:rsidRPr="006C43E7">
        <w:rPr>
          <w:rFonts w:ascii="Calibri" w:hAnsi="Calibri"/>
          <w:b/>
          <w:bCs/>
          <w:color w:val="24231E"/>
          <w:sz w:val="22"/>
          <w:szCs w:val="22"/>
        </w:rPr>
        <w:t>Core Technology</w:t>
      </w:r>
      <w:r w:rsidRPr="006C43E7">
        <w:rPr>
          <w:rFonts w:ascii="Calibri" w:hAnsi="Calibri"/>
          <w:color w:val="24231E"/>
          <w:sz w:val="22"/>
          <w:szCs w:val="22"/>
        </w:rPr>
        <w:t xml:space="preserve"> </w:t>
      </w:r>
      <w:r w:rsidRPr="006C43E7">
        <w:rPr>
          <w:rFonts w:ascii="Verdana" w:eastAsia="MS Mincho" w:hAnsi="Verdana" w:cs="Arial"/>
          <w:lang w:eastAsia="ja-JP" w:bidi="ar-SA"/>
        </w:rPr>
        <w:t>ALL treatment intensity varies by patient’s risk to relapse and determined by quan</w:t>
      </w:r>
      <w:r>
        <w:rPr>
          <w:rFonts w:ascii="Verdana" w:eastAsia="MS Mincho" w:hAnsi="Verdana" w:cs="Arial"/>
          <w:lang w:eastAsia="ja-JP" w:bidi="ar-SA"/>
        </w:rPr>
        <w:t>tifying residual leukemia cells,</w:t>
      </w:r>
      <w:r w:rsidRPr="006C43E7">
        <w:rPr>
          <w:rFonts w:ascii="Verdana" w:eastAsia="MS Mincho" w:hAnsi="Verdana" w:cs="Arial"/>
          <w:lang w:eastAsia="ja-JP" w:bidi="ar-SA"/>
        </w:rPr>
        <w:t xml:space="preserve"> 1-3 months after starting treatment. </w:t>
      </w:r>
      <w:proofErr w:type="spellStart"/>
      <w:r w:rsidRPr="006C43E7">
        <w:rPr>
          <w:rFonts w:ascii="Verdana" w:eastAsia="MS Mincho" w:hAnsi="Verdana" w:cs="Arial"/>
          <w:lang w:eastAsia="ja-JP" w:bidi="ar-SA"/>
        </w:rPr>
        <w:t>ProALL</w:t>
      </w:r>
      <w:proofErr w:type="spellEnd"/>
      <w:r w:rsidRPr="006C43E7">
        <w:rPr>
          <w:rFonts w:ascii="Verdana" w:eastAsia="MS Mincho" w:hAnsi="Verdana" w:cs="Arial"/>
          <w:lang w:eastAsia="ja-JP" w:bidi="ar-SA"/>
        </w:rPr>
        <w:t xml:space="preserve"> determines patient’s risk to relapse 1-3 days from diagnosis. </w:t>
      </w:r>
      <w:proofErr w:type="spellStart"/>
      <w:r w:rsidRPr="006C43E7">
        <w:rPr>
          <w:rFonts w:ascii="Verdana" w:eastAsia="MS Mincho" w:hAnsi="Verdana" w:cs="Arial"/>
          <w:lang w:eastAsia="ja-JP" w:bidi="ar-SA"/>
        </w:rPr>
        <w:t>ProALL</w:t>
      </w:r>
      <w:proofErr w:type="spellEnd"/>
      <w:r w:rsidRPr="006C43E7">
        <w:rPr>
          <w:rFonts w:ascii="Verdana" w:eastAsia="MS Mincho" w:hAnsi="Verdana" w:cs="Arial"/>
          <w:lang w:eastAsia="ja-JP" w:bidi="ar-SA"/>
        </w:rPr>
        <w:t xml:space="preserve"> answers need for a rapid, straightforward and less expensive test. </w:t>
      </w:r>
      <w:proofErr w:type="spellStart"/>
      <w:r w:rsidRPr="006C43E7">
        <w:rPr>
          <w:rFonts w:ascii="Verdana" w:eastAsia="MS Mincho" w:hAnsi="Verdana" w:cs="Arial"/>
          <w:lang w:eastAsia="ja-JP" w:bidi="ar-SA"/>
        </w:rPr>
        <w:t>ProALL</w:t>
      </w:r>
      <w:proofErr w:type="spellEnd"/>
      <w:r w:rsidRPr="006C43E7">
        <w:rPr>
          <w:rFonts w:ascii="Verdana" w:eastAsia="MS Mincho" w:hAnsi="Verdana" w:cs="Arial"/>
          <w:lang w:eastAsia="ja-JP" w:bidi="ar-SA"/>
        </w:rPr>
        <w:t xml:space="preserve"> measures microRNA that controls genes involved in cancer by using standard technology called Quantitative Reverse Transcription PCR. </w:t>
      </w:r>
    </w:p>
    <w:p w:rsidR="00E637E3" w:rsidRPr="00D357AF" w:rsidRDefault="00E637E3" w:rsidP="00E637E3">
      <w:pPr>
        <w:pStyle w:val="Normal0"/>
        <w:numPr>
          <w:ilvl w:val="0"/>
          <w:numId w:val="1"/>
        </w:numPr>
        <w:autoSpaceDE w:val="0"/>
        <w:autoSpaceDN w:val="0"/>
        <w:adjustRightInd w:val="0"/>
        <w:spacing w:before="20" w:beforeAutospacing="1" w:after="20" w:afterAutospacing="1" w:line="255" w:lineRule="atLeast"/>
        <w:ind w:left="360" w:right="79"/>
        <w:jc w:val="both"/>
        <w:rPr>
          <w:rFonts w:ascii="Verdana" w:eastAsia="Calibri" w:hAnsi="Verdana" w:cs="Arial"/>
        </w:rPr>
      </w:pPr>
      <w:r w:rsidRPr="00D357AF">
        <w:rPr>
          <w:rFonts w:ascii="Calibri" w:hAnsi="Calibri"/>
          <w:b/>
          <w:bCs/>
          <w:color w:val="24231E"/>
          <w:sz w:val="22"/>
          <w:szCs w:val="22"/>
        </w:rPr>
        <w:t>Product Profile/Pipeline</w:t>
      </w:r>
      <w:r w:rsidRPr="00D357AF">
        <w:rPr>
          <w:rFonts w:ascii="Calibri" w:hAnsi="Calibri"/>
          <w:color w:val="24231E"/>
          <w:sz w:val="22"/>
          <w:szCs w:val="22"/>
        </w:rPr>
        <w:t xml:space="preserve"> </w:t>
      </w:r>
      <w:proofErr w:type="spellStart"/>
      <w:r w:rsidRPr="00D357AF">
        <w:rPr>
          <w:rFonts w:ascii="Verdana" w:eastAsia="MS Mincho" w:hAnsi="Verdana" w:cs="Arial"/>
          <w:lang w:eastAsia="ja-JP" w:bidi="ar-SA"/>
        </w:rPr>
        <w:t>Curewize</w:t>
      </w:r>
      <w:proofErr w:type="spellEnd"/>
      <w:r w:rsidRPr="00D357AF">
        <w:rPr>
          <w:rFonts w:ascii="Verdana" w:eastAsia="MS Mincho" w:hAnsi="Verdana" w:cs="Arial"/>
          <w:lang w:eastAsia="ja-JP" w:bidi="ar-SA"/>
        </w:rPr>
        <w:t xml:space="preserve"> product pipeline includes a test for long-term monitoring of ALL patients for molecular relapse during and after treatment. A clinical trial using stored specimens is being pursued and a prospective clinical trial is at initial stages. </w:t>
      </w:r>
      <w:proofErr w:type="spellStart"/>
      <w:r>
        <w:rPr>
          <w:rFonts w:ascii="Verdana" w:eastAsia="MS Mincho" w:hAnsi="Verdana" w:cs="Arial"/>
          <w:lang w:eastAsia="ja-JP" w:bidi="ar-SA"/>
        </w:rPr>
        <w:t>Curewize</w:t>
      </w:r>
      <w:proofErr w:type="spellEnd"/>
      <w:r w:rsidRPr="00D357AF">
        <w:rPr>
          <w:rFonts w:ascii="Verdana" w:eastAsia="MS Mincho" w:hAnsi="Verdana" w:cs="Arial"/>
          <w:lang w:eastAsia="ja-JP" w:bidi="ar-SA"/>
        </w:rPr>
        <w:t xml:space="preserve"> </w:t>
      </w:r>
      <w:r>
        <w:rPr>
          <w:rFonts w:ascii="Verdana" w:eastAsia="MS Mincho" w:hAnsi="Verdana" w:cs="Arial"/>
          <w:lang w:eastAsia="ja-JP" w:bidi="ar-SA"/>
        </w:rPr>
        <w:t xml:space="preserve">is pursuing the very large potential of our </w:t>
      </w:r>
      <w:r w:rsidRPr="00D357AF">
        <w:rPr>
          <w:rFonts w:ascii="Verdana" w:eastAsia="MS Mincho" w:hAnsi="Verdana" w:cs="Arial"/>
          <w:lang w:eastAsia="ja-JP" w:bidi="ar-SA"/>
        </w:rPr>
        <w:t xml:space="preserve">R&amp;D </w:t>
      </w:r>
      <w:r>
        <w:rPr>
          <w:rFonts w:ascii="Verdana" w:eastAsia="MS Mincho" w:hAnsi="Verdana" w:cs="Arial"/>
          <w:lang w:eastAsia="ja-JP" w:bidi="ar-SA"/>
        </w:rPr>
        <w:t xml:space="preserve">findings </w:t>
      </w:r>
      <w:r w:rsidRPr="00D357AF">
        <w:rPr>
          <w:rFonts w:ascii="Verdana" w:eastAsia="MS Mincho" w:hAnsi="Verdana" w:cs="Arial"/>
          <w:lang w:eastAsia="ja-JP" w:bidi="ar-SA"/>
        </w:rPr>
        <w:t xml:space="preserve">on microRNA biomarkers for the personalized treatment of other </w:t>
      </w:r>
      <w:r>
        <w:rPr>
          <w:rFonts w:ascii="Verdana" w:eastAsia="MS Mincho" w:hAnsi="Verdana" w:cs="Arial"/>
          <w:lang w:eastAsia="ja-JP" w:bidi="ar-SA"/>
        </w:rPr>
        <w:t>cancers</w:t>
      </w:r>
      <w:r w:rsidRPr="00D357AF">
        <w:rPr>
          <w:rFonts w:ascii="Verdana" w:eastAsia="MS Mincho" w:hAnsi="Verdana" w:cs="Arial"/>
          <w:lang w:eastAsia="ja-JP" w:bidi="ar-SA"/>
        </w:rPr>
        <w:t xml:space="preserve">. </w:t>
      </w:r>
    </w:p>
    <w:p w:rsidR="00E637E3" w:rsidRPr="00D357AF" w:rsidRDefault="00E637E3" w:rsidP="00E637E3">
      <w:pPr>
        <w:pStyle w:val="Normal0"/>
        <w:numPr>
          <w:ilvl w:val="0"/>
          <w:numId w:val="1"/>
        </w:numPr>
        <w:autoSpaceDE w:val="0"/>
        <w:autoSpaceDN w:val="0"/>
        <w:adjustRightInd w:val="0"/>
        <w:spacing w:before="20" w:beforeAutospacing="1" w:after="20" w:afterAutospacing="1" w:line="255" w:lineRule="atLeast"/>
        <w:ind w:left="360" w:right="79"/>
        <w:jc w:val="both"/>
        <w:rPr>
          <w:rFonts w:ascii="Verdana" w:eastAsia="Calibri" w:hAnsi="Verdana" w:cs="Arial"/>
        </w:rPr>
      </w:pPr>
      <w:r w:rsidRPr="00D357AF">
        <w:rPr>
          <w:rFonts w:ascii="Calibri" w:hAnsi="Calibri"/>
          <w:b/>
          <w:bCs/>
          <w:color w:val="24231E"/>
          <w:sz w:val="22"/>
          <w:szCs w:val="22"/>
        </w:rPr>
        <w:t>What's Next?</w:t>
      </w:r>
      <w:r w:rsidRPr="00D357AF">
        <w:rPr>
          <w:rFonts w:ascii="Calibri" w:hAnsi="Calibri"/>
          <w:color w:val="24231E"/>
          <w:sz w:val="22"/>
          <w:szCs w:val="22"/>
        </w:rPr>
        <w:t xml:space="preserve"> </w:t>
      </w:r>
      <w:proofErr w:type="spellStart"/>
      <w:r w:rsidRPr="00D357AF">
        <w:rPr>
          <w:rFonts w:ascii="Verdana" w:eastAsia="MS Mincho" w:hAnsi="Verdana" w:cs="Arial"/>
          <w:lang w:eastAsia="ja-JP" w:bidi="ar-SA"/>
        </w:rPr>
        <w:t>Curewize</w:t>
      </w:r>
      <w:proofErr w:type="spellEnd"/>
      <w:r w:rsidRPr="00D357AF">
        <w:rPr>
          <w:rFonts w:ascii="Verdana" w:eastAsia="MS Mincho" w:hAnsi="Verdana" w:cs="Arial"/>
          <w:lang w:eastAsia="ja-JP" w:bidi="ar-SA"/>
        </w:rPr>
        <w:t xml:space="preserve"> is nearing the commercialization of </w:t>
      </w:r>
      <w:proofErr w:type="spellStart"/>
      <w:r w:rsidRPr="00D357AF">
        <w:rPr>
          <w:rFonts w:ascii="Verdana" w:eastAsia="MS Mincho" w:hAnsi="Verdana" w:cs="Arial"/>
          <w:lang w:eastAsia="ja-JP" w:bidi="ar-SA"/>
        </w:rPr>
        <w:t>ProALL</w:t>
      </w:r>
      <w:proofErr w:type="spellEnd"/>
      <w:r w:rsidRPr="00D357AF">
        <w:rPr>
          <w:rFonts w:ascii="Verdana" w:eastAsia="MS Mincho" w:hAnsi="Verdana" w:cs="Arial"/>
          <w:lang w:eastAsia="ja-JP" w:bidi="ar-SA"/>
        </w:rPr>
        <w:t xml:space="preserve"> and intends to receive CE during 2017. Additional funding of ~2.0 million dollars is required for preparing reimbursement strategy, marketing activities, transfer and qualification of </w:t>
      </w:r>
      <w:proofErr w:type="spellStart"/>
      <w:r w:rsidRPr="00D357AF">
        <w:rPr>
          <w:rFonts w:ascii="Verdana" w:eastAsia="MS Mincho" w:hAnsi="Verdana" w:cs="Arial"/>
          <w:lang w:eastAsia="ja-JP" w:bidi="ar-SA"/>
        </w:rPr>
        <w:t>ProALL</w:t>
      </w:r>
      <w:proofErr w:type="spellEnd"/>
      <w:r w:rsidRPr="00D357AF">
        <w:rPr>
          <w:rFonts w:ascii="Verdana" w:eastAsia="MS Mincho" w:hAnsi="Verdana" w:cs="Arial"/>
          <w:lang w:eastAsia="ja-JP" w:bidi="ar-SA"/>
        </w:rPr>
        <w:t xml:space="preserve"> in USA labs and the clinical development of pipeline products for additional cancers. Large oncology groups will be approached for incorporating </w:t>
      </w:r>
      <w:proofErr w:type="spellStart"/>
      <w:r w:rsidRPr="00D357AF">
        <w:rPr>
          <w:rFonts w:ascii="Verdana" w:eastAsia="MS Mincho" w:hAnsi="Verdana" w:cs="Arial"/>
          <w:lang w:eastAsia="ja-JP" w:bidi="ar-SA"/>
        </w:rPr>
        <w:t>ProALL</w:t>
      </w:r>
      <w:proofErr w:type="spellEnd"/>
      <w:r w:rsidRPr="00D357AF">
        <w:rPr>
          <w:rFonts w:ascii="Verdana" w:eastAsia="MS Mincho" w:hAnsi="Verdana" w:cs="Arial"/>
          <w:lang w:eastAsia="ja-JP" w:bidi="ar-SA"/>
        </w:rPr>
        <w:t xml:space="preserve"> in their treatment protocol. </w:t>
      </w:r>
    </w:p>
    <w:p w:rsidR="00BB443B" w:rsidRPr="00E637E3" w:rsidRDefault="00BB443B"/>
    <w:sectPr w:rsidR="00BB443B" w:rsidRPr="00E637E3" w:rsidSect="006C6F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9814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E3"/>
    <w:rsid w:val="006C6F2B"/>
    <w:rsid w:val="00BB443B"/>
    <w:rsid w:val="00E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4D69A-7723-4ABB-95EE-044AFE83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637E3"/>
    <w:rPr>
      <w:b/>
      <w:bCs/>
    </w:rPr>
  </w:style>
  <w:style w:type="paragraph" w:styleId="NormalWeb">
    <w:name w:val="Normal (Web)"/>
    <w:basedOn w:val="Normal"/>
    <w:rsid w:val="00E637E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E63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1</cp:revision>
  <dcterms:created xsi:type="dcterms:W3CDTF">2016-05-25T18:06:00Z</dcterms:created>
  <dcterms:modified xsi:type="dcterms:W3CDTF">2016-05-25T18:06:00Z</dcterms:modified>
</cp:coreProperties>
</file>