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53C" w:rsidRPr="009B55DA" w:rsidRDefault="001E653C" w:rsidP="001E653C">
      <w:pPr>
        <w:pStyle w:val="NormalWeb"/>
        <w:rPr>
          <w:rStyle w:val="Strong"/>
          <w:rFonts w:ascii="Calibri" w:hAnsi="Calibri"/>
          <w:sz w:val="22"/>
          <w:szCs w:val="22"/>
        </w:rPr>
      </w:pPr>
      <w:r w:rsidRPr="009B55DA">
        <w:rPr>
          <w:rStyle w:val="Strong"/>
          <w:rFonts w:ascii="Calibri" w:hAnsi="Calibri"/>
          <w:sz w:val="22"/>
          <w:szCs w:val="22"/>
        </w:rPr>
        <w:t>[</w:t>
      </w:r>
      <w:r>
        <w:rPr>
          <w:rStyle w:val="Strong"/>
          <w:rFonts w:ascii="Calibri" w:hAnsi="Calibri"/>
          <w:noProof/>
          <w:sz w:val="22"/>
          <w:szCs w:val="22"/>
        </w:rPr>
        <w:t>208</w:t>
      </w:r>
      <w:r w:rsidRPr="009B55DA">
        <w:rPr>
          <w:rStyle w:val="Strong"/>
          <w:rFonts w:ascii="Calibri" w:hAnsi="Calibri"/>
          <w:sz w:val="22"/>
          <w:szCs w:val="22"/>
        </w:rPr>
        <w:t xml:space="preserve">] </w:t>
      </w:r>
      <w:r w:rsidRPr="009B55DA">
        <w:rPr>
          <w:rStyle w:val="Strong"/>
          <w:rFonts w:ascii="Calibri" w:hAnsi="Calibri"/>
          <w:noProof/>
          <w:sz w:val="22"/>
          <w:szCs w:val="22"/>
        </w:rPr>
        <w:t>A JOURNEY</w:t>
      </w:r>
      <w:r w:rsidRPr="009B55DA">
        <w:rPr>
          <w:rStyle w:val="Strong"/>
          <w:rFonts w:ascii="Calibri" w:hAnsi="Calibri"/>
          <w:sz w:val="22"/>
          <w:szCs w:val="22"/>
        </w:rPr>
        <w:t xml:space="preserve"> TO BETTER HEALTH - TAILORING YOUR FOOD CHOICES TO YOUR GUT MICROBIOME</w:t>
      </w:r>
    </w:p>
    <w:p w:rsidR="001E653C" w:rsidRDefault="001E653C" w:rsidP="001E653C">
      <w:pPr>
        <w:pStyle w:val="NormalWeb"/>
        <w:rPr>
          <w:rStyle w:val="Strong"/>
          <w:rFonts w:ascii="Calibri" w:hAnsi="Calibri"/>
          <w:sz w:val="22"/>
          <w:szCs w:val="22"/>
        </w:rPr>
      </w:pPr>
    </w:p>
    <w:p w:rsidR="001E653C" w:rsidRPr="009B55DA" w:rsidRDefault="001E653C" w:rsidP="001E653C">
      <w:pPr>
        <w:pStyle w:val="NormalWeb"/>
        <w:jc w:val="both"/>
        <w:rPr>
          <w:rFonts w:ascii="Calibri" w:hAnsi="Calibri"/>
          <w:sz w:val="22"/>
          <w:szCs w:val="22"/>
        </w:rPr>
      </w:pPr>
      <w:r w:rsidRPr="005A0CDA">
        <w:rPr>
          <w:rFonts w:ascii="Calibri" w:hAnsi="Calibri"/>
          <w:b/>
          <w:noProof/>
          <w:sz w:val="22"/>
          <w:szCs w:val="22"/>
          <w:u w:val="single"/>
        </w:rPr>
        <w:t>Lihi Segal</w:t>
      </w:r>
      <w:r w:rsidRPr="005A0CDA">
        <w:rPr>
          <w:rFonts w:ascii="Calibri" w:hAnsi="Calibri"/>
          <w:b/>
          <w:noProof/>
          <w:sz w:val="22"/>
          <w:szCs w:val="22"/>
          <w:vertAlign w:val="superscript"/>
        </w:rPr>
        <w:t>1</w:t>
      </w:r>
      <w:r>
        <w:rPr>
          <w:rFonts w:ascii="Calibri" w:eastAsia="Calibri" w:hAnsi="Calibri" w:cs="Calibri"/>
          <w:b/>
          <w:sz w:val="22"/>
        </w:rPr>
        <w:t xml:space="preserve">, </w:t>
      </w:r>
      <w:r w:rsidRPr="005A0CDA">
        <w:rPr>
          <w:rFonts w:ascii="Calibri" w:hAnsi="Calibri"/>
          <w:b/>
          <w:noProof/>
          <w:sz w:val="22"/>
          <w:szCs w:val="22"/>
          <w:vertAlign w:val="superscript"/>
        </w:rPr>
        <w:t>1</w:t>
      </w:r>
      <w:r w:rsidRPr="005A0CDA">
        <w:rPr>
          <w:rFonts w:ascii="Calibri" w:hAnsi="Calibri"/>
          <w:b/>
          <w:sz w:val="22"/>
          <w:szCs w:val="22"/>
        </w:rPr>
        <w:t xml:space="preserve"> </w:t>
      </w:r>
      <w:bookmarkStart w:id="0" w:name="_GoBack"/>
      <w:r w:rsidRPr="005A0CDA">
        <w:rPr>
          <w:rFonts w:ascii="Calibri" w:hAnsi="Calibri"/>
          <w:b/>
          <w:noProof/>
          <w:sz w:val="22"/>
          <w:szCs w:val="22"/>
        </w:rPr>
        <w:t>Daytwo</w:t>
      </w:r>
      <w:bookmarkEnd w:id="0"/>
    </w:p>
    <w:p w:rsidR="001E653C" w:rsidRPr="000C65C6" w:rsidRDefault="001E653C" w:rsidP="001E653C">
      <w:pPr>
        <w:pStyle w:val="Normal0"/>
        <w:widowControl w:val="0"/>
        <w:autoSpaceDE w:val="0"/>
        <w:autoSpaceDN w:val="0"/>
        <w:adjustRightInd w:val="0"/>
        <w:rPr>
          <w:rFonts w:ascii="Calibri" w:eastAsia="Calibri" w:hAnsi="Calibri" w:cs="Calibri"/>
          <w:sz w:val="28"/>
          <w:szCs w:val="28"/>
          <w:lang w:bidi="ar-SA"/>
        </w:rPr>
      </w:pPr>
    </w:p>
    <w:p w:rsidR="001E653C" w:rsidRPr="000C65C6" w:rsidRDefault="001E653C" w:rsidP="001E653C">
      <w:pPr>
        <w:pStyle w:val="Normal0"/>
        <w:numPr>
          <w:ilvl w:val="0"/>
          <w:numId w:val="1"/>
        </w:numPr>
        <w:spacing w:before="100" w:beforeAutospacing="1" w:after="100" w:afterAutospacing="1" w:line="360" w:lineRule="auto"/>
        <w:jc w:val="both"/>
        <w:rPr>
          <w:rFonts w:ascii="Calibri" w:hAnsi="Calibri"/>
          <w:bCs/>
          <w:color w:val="24231E"/>
          <w:sz w:val="22"/>
          <w:szCs w:val="22"/>
        </w:rPr>
      </w:pPr>
      <w:r w:rsidRPr="000C65C6">
        <w:rPr>
          <w:rFonts w:ascii="Calibri" w:hAnsi="Calibri"/>
          <w:b/>
          <w:bCs/>
          <w:color w:val="24231E"/>
          <w:sz w:val="22"/>
          <w:szCs w:val="22"/>
        </w:rPr>
        <w:t>Investment Rational</w:t>
      </w:r>
      <w:r w:rsidRPr="000C65C6">
        <w:rPr>
          <w:rFonts w:ascii="Calibri" w:hAnsi="Calibri"/>
          <w:bCs/>
          <w:color w:val="24231E"/>
          <w:sz w:val="22"/>
          <w:szCs w:val="22"/>
        </w:rPr>
        <w:t xml:space="preserve">: </w:t>
      </w:r>
      <w:proofErr w:type="spellStart"/>
      <w:r w:rsidRPr="000C65C6">
        <w:rPr>
          <w:rFonts w:ascii="Calibri" w:hAnsi="Calibri"/>
          <w:bCs/>
          <w:color w:val="24231E"/>
          <w:sz w:val="22"/>
          <w:szCs w:val="22"/>
        </w:rPr>
        <w:t>DayTwo</w:t>
      </w:r>
      <w:proofErr w:type="spellEnd"/>
      <w:r w:rsidRPr="000C65C6">
        <w:rPr>
          <w:rFonts w:ascii="Calibri" w:hAnsi="Calibri"/>
          <w:bCs/>
          <w:color w:val="24231E"/>
          <w:sz w:val="22"/>
          <w:szCs w:val="22"/>
        </w:rPr>
        <w:t xml:space="preserve"> translates each person’s unique gut microbiome into surprising food recommendations personally tailored, </w:t>
      </w:r>
      <w:r>
        <w:rPr>
          <w:rFonts w:ascii="Calibri" w:hAnsi="Calibri"/>
          <w:bCs/>
          <w:color w:val="24231E"/>
          <w:sz w:val="22"/>
          <w:szCs w:val="22"/>
        </w:rPr>
        <w:t xml:space="preserve">for </w:t>
      </w:r>
      <w:r w:rsidRPr="000C65C6">
        <w:rPr>
          <w:rFonts w:ascii="Calibri" w:hAnsi="Calibri"/>
          <w:bCs/>
          <w:color w:val="24231E"/>
          <w:sz w:val="22"/>
          <w:szCs w:val="22"/>
        </w:rPr>
        <w:t xml:space="preserve">maintaining lower blood sugar levels and general health. We benefit the healthy population, as well as those with obesity, pre-diabetes, diabetics and other metabolic disorders. Our technology is based on a four-year research led by Prof. </w:t>
      </w:r>
      <w:proofErr w:type="spellStart"/>
      <w:r w:rsidRPr="000C65C6">
        <w:rPr>
          <w:rFonts w:ascii="Calibri" w:hAnsi="Calibri"/>
          <w:bCs/>
          <w:color w:val="24231E"/>
          <w:sz w:val="22"/>
          <w:szCs w:val="22"/>
        </w:rPr>
        <w:t>Eran</w:t>
      </w:r>
      <w:proofErr w:type="spellEnd"/>
      <w:r w:rsidRPr="000C65C6">
        <w:rPr>
          <w:rFonts w:ascii="Calibri" w:hAnsi="Calibri"/>
          <w:bCs/>
          <w:color w:val="24231E"/>
          <w:sz w:val="22"/>
          <w:szCs w:val="22"/>
        </w:rPr>
        <w:t xml:space="preserve"> Segal and Dr. </w:t>
      </w:r>
      <w:proofErr w:type="spellStart"/>
      <w:r w:rsidRPr="000C65C6">
        <w:rPr>
          <w:rFonts w:ascii="Calibri" w:hAnsi="Calibri"/>
          <w:bCs/>
          <w:color w:val="24231E"/>
          <w:sz w:val="22"/>
          <w:szCs w:val="22"/>
        </w:rPr>
        <w:t>Eran</w:t>
      </w:r>
      <w:proofErr w:type="spellEnd"/>
      <w:r w:rsidRPr="000C65C6">
        <w:rPr>
          <w:rFonts w:ascii="Calibri" w:hAnsi="Calibri"/>
          <w:bCs/>
          <w:color w:val="24231E"/>
          <w:sz w:val="22"/>
          <w:szCs w:val="22"/>
        </w:rPr>
        <w:t xml:space="preserve"> </w:t>
      </w:r>
      <w:proofErr w:type="spellStart"/>
      <w:r w:rsidRPr="000C65C6">
        <w:rPr>
          <w:rFonts w:ascii="Calibri" w:hAnsi="Calibri"/>
          <w:bCs/>
          <w:color w:val="24231E"/>
          <w:sz w:val="22"/>
          <w:szCs w:val="22"/>
        </w:rPr>
        <w:t>Elinav</w:t>
      </w:r>
      <w:proofErr w:type="spellEnd"/>
      <w:r w:rsidRPr="000C65C6">
        <w:rPr>
          <w:rFonts w:ascii="Calibri" w:hAnsi="Calibri"/>
          <w:bCs/>
          <w:color w:val="24231E"/>
          <w:sz w:val="22"/>
          <w:szCs w:val="22"/>
        </w:rPr>
        <w:t xml:space="preserve"> from the Weizmann Institute published in Cell </w:t>
      </w:r>
      <w:r>
        <w:rPr>
          <w:rFonts w:ascii="Calibri" w:hAnsi="Calibri"/>
          <w:bCs/>
          <w:color w:val="24231E"/>
          <w:sz w:val="22"/>
          <w:szCs w:val="22"/>
        </w:rPr>
        <w:t>J</w:t>
      </w:r>
      <w:r w:rsidRPr="000C65C6">
        <w:rPr>
          <w:rFonts w:ascii="Calibri" w:hAnsi="Calibri"/>
          <w:bCs/>
          <w:color w:val="24231E"/>
          <w:sz w:val="22"/>
          <w:szCs w:val="22"/>
        </w:rPr>
        <w:t xml:space="preserve">ournal and exclusively licensed to </w:t>
      </w:r>
      <w:proofErr w:type="spellStart"/>
      <w:r w:rsidRPr="000C65C6">
        <w:rPr>
          <w:rFonts w:ascii="Calibri" w:hAnsi="Calibri"/>
          <w:bCs/>
          <w:color w:val="24231E"/>
          <w:sz w:val="22"/>
          <w:szCs w:val="22"/>
        </w:rPr>
        <w:t>DayTwo</w:t>
      </w:r>
      <w:proofErr w:type="spellEnd"/>
      <w:r w:rsidRPr="000C65C6">
        <w:rPr>
          <w:rFonts w:ascii="Calibri" w:hAnsi="Calibri"/>
          <w:bCs/>
          <w:color w:val="24231E"/>
          <w:sz w:val="22"/>
          <w:szCs w:val="22"/>
        </w:rPr>
        <w:t xml:space="preserve">. </w:t>
      </w:r>
    </w:p>
    <w:p w:rsidR="001E653C" w:rsidRPr="000C65C6" w:rsidRDefault="001E653C" w:rsidP="001E653C">
      <w:pPr>
        <w:pStyle w:val="Normal0"/>
        <w:numPr>
          <w:ilvl w:val="0"/>
          <w:numId w:val="1"/>
        </w:numPr>
        <w:spacing w:before="100" w:beforeAutospacing="1" w:after="100" w:afterAutospacing="1" w:line="360" w:lineRule="auto"/>
        <w:jc w:val="both"/>
        <w:rPr>
          <w:rFonts w:ascii="Calibri" w:hAnsi="Calibri"/>
          <w:bCs/>
          <w:color w:val="24231E"/>
          <w:sz w:val="22"/>
          <w:szCs w:val="22"/>
        </w:rPr>
      </w:pPr>
      <w:r w:rsidRPr="000C65C6">
        <w:rPr>
          <w:rFonts w:ascii="Calibri" w:hAnsi="Calibri"/>
          <w:b/>
          <w:bCs/>
          <w:color w:val="24231E"/>
          <w:sz w:val="22"/>
          <w:szCs w:val="22"/>
        </w:rPr>
        <w:t>Business Strategy</w:t>
      </w:r>
      <w:r w:rsidRPr="000C65C6">
        <w:rPr>
          <w:rFonts w:ascii="Calibri" w:hAnsi="Calibri"/>
          <w:bCs/>
          <w:color w:val="24231E"/>
          <w:sz w:val="22"/>
          <w:szCs w:val="22"/>
        </w:rPr>
        <w:t xml:space="preserve">: </w:t>
      </w:r>
      <w:proofErr w:type="spellStart"/>
      <w:r w:rsidRPr="000C65C6">
        <w:rPr>
          <w:rFonts w:ascii="Calibri" w:hAnsi="Calibri"/>
          <w:bCs/>
          <w:color w:val="24231E"/>
          <w:sz w:val="22"/>
          <w:szCs w:val="22"/>
        </w:rPr>
        <w:t>DayTwo</w:t>
      </w:r>
      <w:proofErr w:type="spellEnd"/>
      <w:r w:rsidRPr="000C65C6">
        <w:rPr>
          <w:rFonts w:ascii="Calibri" w:hAnsi="Calibri"/>
          <w:bCs/>
          <w:color w:val="24231E"/>
          <w:sz w:val="22"/>
          <w:szCs w:val="22"/>
        </w:rPr>
        <w:t xml:space="preserve"> offers a B2C cloud-based application that provides real-time scoring of food, </w:t>
      </w:r>
      <w:r>
        <w:rPr>
          <w:rFonts w:ascii="Calibri" w:hAnsi="Calibri"/>
          <w:bCs/>
          <w:color w:val="24231E"/>
          <w:sz w:val="22"/>
          <w:szCs w:val="22"/>
        </w:rPr>
        <w:t xml:space="preserve">for </w:t>
      </w:r>
      <w:r w:rsidRPr="000C65C6">
        <w:rPr>
          <w:rFonts w:ascii="Calibri" w:hAnsi="Calibri"/>
          <w:bCs/>
          <w:color w:val="24231E"/>
          <w:sz w:val="22"/>
          <w:szCs w:val="22"/>
        </w:rPr>
        <w:t xml:space="preserve">maintaining normal blood sugar levels. </w:t>
      </w:r>
      <w:proofErr w:type="spellStart"/>
      <w:r w:rsidRPr="000C65C6">
        <w:rPr>
          <w:rFonts w:ascii="Calibri" w:hAnsi="Calibri"/>
          <w:bCs/>
          <w:color w:val="24231E"/>
          <w:sz w:val="22"/>
          <w:szCs w:val="22"/>
        </w:rPr>
        <w:t>DayTwo</w:t>
      </w:r>
      <w:proofErr w:type="spellEnd"/>
      <w:r w:rsidRPr="000C65C6">
        <w:rPr>
          <w:rFonts w:ascii="Calibri" w:hAnsi="Calibri"/>
          <w:bCs/>
          <w:color w:val="24231E"/>
          <w:sz w:val="22"/>
          <w:szCs w:val="22"/>
        </w:rPr>
        <w:t xml:space="preserve"> will also serve as a B2B platform for companies providing value related to nutrition and microbiome, allowing them to access the personalized nutrition and microbiome profiles of their users through an API. The application will have a one-time fee plus a recurring fee. </w:t>
      </w:r>
    </w:p>
    <w:p w:rsidR="001E653C" w:rsidRPr="000C65C6" w:rsidRDefault="001E653C" w:rsidP="001E653C">
      <w:pPr>
        <w:pStyle w:val="Normal0"/>
        <w:numPr>
          <w:ilvl w:val="0"/>
          <w:numId w:val="1"/>
        </w:numPr>
        <w:spacing w:before="100" w:beforeAutospacing="1" w:after="100" w:afterAutospacing="1" w:line="360" w:lineRule="auto"/>
        <w:jc w:val="both"/>
        <w:rPr>
          <w:rFonts w:ascii="Calibri" w:hAnsi="Calibri"/>
          <w:bCs/>
          <w:color w:val="24231E"/>
          <w:sz w:val="22"/>
          <w:szCs w:val="22"/>
        </w:rPr>
      </w:pPr>
      <w:r w:rsidRPr="000C65C6">
        <w:rPr>
          <w:rFonts w:ascii="Calibri" w:hAnsi="Calibri"/>
          <w:b/>
          <w:bCs/>
          <w:color w:val="24231E"/>
          <w:sz w:val="22"/>
          <w:szCs w:val="22"/>
        </w:rPr>
        <w:t>Core Technology</w:t>
      </w:r>
      <w:r w:rsidRPr="000C65C6">
        <w:rPr>
          <w:rFonts w:ascii="Calibri" w:hAnsi="Calibri"/>
          <w:bCs/>
          <w:color w:val="24231E"/>
          <w:sz w:val="22"/>
          <w:szCs w:val="22"/>
        </w:rPr>
        <w:t xml:space="preserve">: People respond very differently to the same food. Despite the variability, people get generalized dietary </w:t>
      </w:r>
      <w:proofErr w:type="gramStart"/>
      <w:r w:rsidRPr="000C65C6">
        <w:rPr>
          <w:rFonts w:ascii="Calibri" w:hAnsi="Calibri"/>
          <w:bCs/>
          <w:color w:val="24231E"/>
          <w:sz w:val="22"/>
          <w:szCs w:val="22"/>
        </w:rPr>
        <w:t xml:space="preserve">guidelines, </w:t>
      </w:r>
      <w:r>
        <w:rPr>
          <w:rFonts w:ascii="Calibri" w:hAnsi="Calibri"/>
          <w:bCs/>
          <w:color w:val="24231E"/>
          <w:sz w:val="22"/>
          <w:szCs w:val="22"/>
        </w:rPr>
        <w:t>that</w:t>
      </w:r>
      <w:proofErr w:type="gramEnd"/>
      <w:r>
        <w:rPr>
          <w:rFonts w:ascii="Calibri" w:hAnsi="Calibri"/>
          <w:bCs/>
          <w:color w:val="24231E"/>
          <w:sz w:val="22"/>
          <w:szCs w:val="22"/>
        </w:rPr>
        <w:t xml:space="preserve"> may </w:t>
      </w:r>
      <w:r w:rsidRPr="000C65C6">
        <w:rPr>
          <w:rFonts w:ascii="Calibri" w:hAnsi="Calibri"/>
          <w:bCs/>
          <w:color w:val="24231E"/>
          <w:sz w:val="22"/>
          <w:szCs w:val="22"/>
        </w:rPr>
        <w:t>induc</w:t>
      </w:r>
      <w:r>
        <w:rPr>
          <w:rFonts w:ascii="Calibri" w:hAnsi="Calibri"/>
          <w:bCs/>
          <w:color w:val="24231E"/>
          <w:sz w:val="22"/>
          <w:szCs w:val="22"/>
        </w:rPr>
        <w:t>e</w:t>
      </w:r>
      <w:r w:rsidRPr="000C65C6">
        <w:rPr>
          <w:rFonts w:ascii="Calibri" w:hAnsi="Calibri"/>
          <w:bCs/>
          <w:color w:val="24231E"/>
          <w:sz w:val="22"/>
          <w:szCs w:val="22"/>
        </w:rPr>
        <w:t xml:space="preserve"> high blood sugar responses in many cases. </w:t>
      </w:r>
      <w:proofErr w:type="spellStart"/>
      <w:r w:rsidRPr="000C65C6">
        <w:rPr>
          <w:rFonts w:ascii="Calibri" w:hAnsi="Calibri"/>
          <w:bCs/>
          <w:color w:val="24231E"/>
          <w:sz w:val="22"/>
          <w:szCs w:val="22"/>
        </w:rPr>
        <w:t>DayTwo’s</w:t>
      </w:r>
      <w:proofErr w:type="spellEnd"/>
      <w:r w:rsidRPr="000C65C6">
        <w:rPr>
          <w:rFonts w:ascii="Calibri" w:hAnsi="Calibri"/>
          <w:bCs/>
          <w:color w:val="24231E"/>
          <w:sz w:val="22"/>
          <w:szCs w:val="22"/>
        </w:rPr>
        <w:t xml:space="preserve"> proprietary, patent pending, machine learning algorithms integrates personal parameters and microbiome features </w:t>
      </w:r>
      <w:r>
        <w:rPr>
          <w:rFonts w:ascii="Calibri" w:hAnsi="Calibri"/>
          <w:bCs/>
          <w:color w:val="24231E"/>
          <w:sz w:val="22"/>
          <w:szCs w:val="22"/>
        </w:rPr>
        <w:t>to</w:t>
      </w:r>
      <w:r w:rsidRPr="000C65C6">
        <w:rPr>
          <w:rFonts w:ascii="Calibri" w:hAnsi="Calibri"/>
          <w:bCs/>
          <w:color w:val="24231E"/>
          <w:sz w:val="22"/>
          <w:szCs w:val="22"/>
        </w:rPr>
        <w:t xml:space="preserve"> accurately predict the personalized post-meal glucose response to arbitrary meals. </w:t>
      </w:r>
    </w:p>
    <w:p w:rsidR="001E653C" w:rsidRPr="009768A5" w:rsidRDefault="001E653C" w:rsidP="001E653C">
      <w:pPr>
        <w:pStyle w:val="Normal0"/>
        <w:numPr>
          <w:ilvl w:val="0"/>
          <w:numId w:val="1"/>
        </w:numPr>
        <w:spacing w:before="100" w:beforeAutospacing="1" w:after="100" w:afterAutospacing="1" w:line="360" w:lineRule="auto"/>
        <w:jc w:val="both"/>
        <w:rPr>
          <w:rFonts w:ascii="Calibri" w:hAnsi="Calibri"/>
          <w:bCs/>
          <w:color w:val="24231E"/>
          <w:sz w:val="22"/>
          <w:szCs w:val="22"/>
        </w:rPr>
      </w:pPr>
      <w:r w:rsidRPr="000C65C6">
        <w:rPr>
          <w:rFonts w:ascii="Calibri" w:hAnsi="Calibri"/>
          <w:b/>
          <w:bCs/>
          <w:color w:val="24231E"/>
          <w:sz w:val="22"/>
          <w:szCs w:val="22"/>
        </w:rPr>
        <w:t>Product Profile/Pipeline</w:t>
      </w:r>
      <w:r w:rsidRPr="009768A5">
        <w:rPr>
          <w:rFonts w:ascii="Calibri" w:hAnsi="Calibri"/>
          <w:b/>
          <w:bCs/>
          <w:color w:val="24231E"/>
          <w:sz w:val="22"/>
          <w:szCs w:val="22"/>
        </w:rPr>
        <w:t xml:space="preserve">: </w:t>
      </w:r>
      <w:r w:rsidRPr="009768A5">
        <w:rPr>
          <w:rFonts w:ascii="Calibri" w:hAnsi="Calibri"/>
          <w:bCs/>
          <w:color w:val="24231E"/>
          <w:sz w:val="22"/>
          <w:szCs w:val="22"/>
        </w:rPr>
        <w:t xml:space="preserve">The </w:t>
      </w:r>
      <w:proofErr w:type="spellStart"/>
      <w:r w:rsidRPr="009768A5">
        <w:rPr>
          <w:rFonts w:ascii="Calibri" w:hAnsi="Calibri"/>
          <w:bCs/>
          <w:color w:val="24231E"/>
          <w:sz w:val="22"/>
          <w:szCs w:val="22"/>
        </w:rPr>
        <w:t>DayTwo</w:t>
      </w:r>
      <w:proofErr w:type="spellEnd"/>
      <w:r w:rsidRPr="009768A5">
        <w:rPr>
          <w:rFonts w:ascii="Calibri" w:hAnsi="Calibri"/>
          <w:bCs/>
          <w:color w:val="24231E"/>
          <w:sz w:val="22"/>
          <w:szCs w:val="22"/>
        </w:rPr>
        <w:t xml:space="preserve"> application initially targets the healthy and pre-diabetic individuals, and sold both directly to consumers and via partners, allowing them access to users’ Personalized Nutrition engine and Microbiome data. Partners will range from </w:t>
      </w:r>
      <w:proofErr w:type="spellStart"/>
      <w:r w:rsidRPr="009768A5">
        <w:rPr>
          <w:rFonts w:ascii="Calibri" w:hAnsi="Calibri"/>
          <w:bCs/>
          <w:color w:val="24231E"/>
          <w:sz w:val="22"/>
          <w:szCs w:val="22"/>
        </w:rPr>
        <w:t>HealthPlans</w:t>
      </w:r>
      <w:proofErr w:type="spellEnd"/>
      <w:r w:rsidRPr="009768A5">
        <w:rPr>
          <w:rFonts w:ascii="Calibri" w:hAnsi="Calibri"/>
          <w:bCs/>
          <w:color w:val="24231E"/>
          <w:sz w:val="22"/>
          <w:szCs w:val="22"/>
        </w:rPr>
        <w:t xml:space="preserve"> and Employers offering Wellness Programs to services helping with </w:t>
      </w:r>
      <w:proofErr w:type="spellStart"/>
      <w:r w:rsidRPr="009768A5">
        <w:rPr>
          <w:rFonts w:ascii="Calibri" w:hAnsi="Calibri"/>
          <w:bCs/>
          <w:color w:val="24231E"/>
          <w:sz w:val="22"/>
          <w:szCs w:val="22"/>
        </w:rPr>
        <w:t>weigh</w:t>
      </w:r>
      <w:proofErr w:type="spellEnd"/>
      <w:r w:rsidRPr="009768A5">
        <w:rPr>
          <w:rFonts w:ascii="Calibri" w:hAnsi="Calibri"/>
          <w:bCs/>
          <w:color w:val="24231E"/>
          <w:sz w:val="22"/>
          <w:szCs w:val="22"/>
        </w:rPr>
        <w:t xml:space="preserve"> loss, restaurant and grocery shopping applications</w:t>
      </w:r>
      <w:r>
        <w:rPr>
          <w:rFonts w:ascii="Calibri" w:hAnsi="Calibri"/>
          <w:bCs/>
          <w:color w:val="24231E"/>
          <w:sz w:val="22"/>
          <w:szCs w:val="22"/>
        </w:rPr>
        <w:t>,</w:t>
      </w:r>
      <w:r w:rsidRPr="009768A5">
        <w:rPr>
          <w:rFonts w:ascii="Calibri" w:hAnsi="Calibri"/>
          <w:bCs/>
          <w:color w:val="24231E"/>
          <w:sz w:val="22"/>
          <w:szCs w:val="22"/>
        </w:rPr>
        <w:t xml:space="preserve"> providing real time scoring of the menu, and others.</w:t>
      </w:r>
    </w:p>
    <w:p w:rsidR="001E653C" w:rsidRPr="000C65C6" w:rsidRDefault="001E653C" w:rsidP="001E653C">
      <w:pPr>
        <w:pStyle w:val="Normal0"/>
        <w:numPr>
          <w:ilvl w:val="0"/>
          <w:numId w:val="1"/>
        </w:numPr>
        <w:spacing w:before="100" w:beforeAutospacing="1" w:after="100" w:afterAutospacing="1" w:line="360" w:lineRule="auto"/>
        <w:jc w:val="both"/>
        <w:rPr>
          <w:rFonts w:ascii="Calibri" w:hAnsi="Calibri"/>
          <w:bCs/>
          <w:color w:val="24231E"/>
          <w:sz w:val="22"/>
          <w:szCs w:val="22"/>
        </w:rPr>
        <w:sectPr w:rsidR="001E653C" w:rsidRPr="000C65C6" w:rsidSect="009B55DA">
          <w:pgSz w:w="11906" w:h="16838"/>
          <w:pgMar w:top="1008" w:right="1411" w:bottom="1138" w:left="1411" w:header="706" w:footer="706" w:gutter="0"/>
          <w:cols w:space="708"/>
          <w:docGrid w:linePitch="360"/>
        </w:sectPr>
      </w:pPr>
      <w:r w:rsidRPr="000C65C6">
        <w:rPr>
          <w:rFonts w:ascii="Calibri" w:hAnsi="Calibri"/>
          <w:b/>
          <w:bCs/>
          <w:color w:val="24231E"/>
          <w:sz w:val="22"/>
          <w:szCs w:val="22"/>
        </w:rPr>
        <w:t>What's Next</w:t>
      </w:r>
      <w:r w:rsidRPr="000C65C6">
        <w:rPr>
          <w:rFonts w:ascii="Calibri" w:hAnsi="Calibri"/>
          <w:bCs/>
          <w:color w:val="24231E"/>
          <w:sz w:val="22"/>
          <w:szCs w:val="22"/>
        </w:rPr>
        <w:t xml:space="preserve">? The product will be launched in 2016 in the US. </w:t>
      </w:r>
      <w:proofErr w:type="spellStart"/>
      <w:r w:rsidRPr="000C65C6">
        <w:rPr>
          <w:rFonts w:ascii="Calibri" w:hAnsi="Calibri"/>
          <w:bCs/>
          <w:color w:val="24231E"/>
          <w:sz w:val="22"/>
          <w:szCs w:val="22"/>
        </w:rPr>
        <w:t>DayTwo</w:t>
      </w:r>
      <w:proofErr w:type="spellEnd"/>
      <w:r w:rsidRPr="000C65C6">
        <w:rPr>
          <w:rFonts w:ascii="Calibri" w:hAnsi="Calibri"/>
          <w:bCs/>
          <w:color w:val="24231E"/>
          <w:sz w:val="22"/>
          <w:szCs w:val="22"/>
        </w:rPr>
        <w:t xml:space="preserve"> will continue to collaborate with Prof. </w:t>
      </w:r>
      <w:proofErr w:type="spellStart"/>
      <w:r w:rsidRPr="000C65C6">
        <w:rPr>
          <w:rFonts w:ascii="Calibri" w:hAnsi="Calibri"/>
          <w:bCs/>
          <w:color w:val="24231E"/>
          <w:sz w:val="22"/>
          <w:szCs w:val="22"/>
        </w:rPr>
        <w:t>Eran</w:t>
      </w:r>
      <w:proofErr w:type="spellEnd"/>
      <w:r w:rsidRPr="000C65C6">
        <w:rPr>
          <w:rFonts w:ascii="Calibri" w:hAnsi="Calibri"/>
          <w:bCs/>
          <w:color w:val="24231E"/>
          <w:sz w:val="22"/>
          <w:szCs w:val="22"/>
        </w:rPr>
        <w:t xml:space="preserve"> Segal and Dr. </w:t>
      </w:r>
      <w:proofErr w:type="spellStart"/>
      <w:r w:rsidRPr="000C65C6">
        <w:rPr>
          <w:rFonts w:ascii="Calibri" w:hAnsi="Calibri"/>
          <w:bCs/>
          <w:color w:val="24231E"/>
          <w:sz w:val="22"/>
          <w:szCs w:val="22"/>
        </w:rPr>
        <w:t>Eran</w:t>
      </w:r>
      <w:proofErr w:type="spellEnd"/>
      <w:r w:rsidRPr="000C65C6">
        <w:rPr>
          <w:rFonts w:ascii="Calibri" w:hAnsi="Calibri"/>
          <w:bCs/>
          <w:color w:val="24231E"/>
          <w:sz w:val="22"/>
          <w:szCs w:val="22"/>
        </w:rPr>
        <w:t xml:space="preserve"> </w:t>
      </w:r>
      <w:proofErr w:type="spellStart"/>
      <w:r w:rsidRPr="000C65C6">
        <w:rPr>
          <w:rFonts w:ascii="Calibri" w:hAnsi="Calibri"/>
          <w:bCs/>
          <w:color w:val="24231E"/>
          <w:sz w:val="22"/>
          <w:szCs w:val="22"/>
        </w:rPr>
        <w:t>Elinav</w:t>
      </w:r>
      <w:proofErr w:type="spellEnd"/>
      <w:r w:rsidRPr="000C65C6">
        <w:rPr>
          <w:rFonts w:ascii="Calibri" w:hAnsi="Calibri"/>
          <w:bCs/>
          <w:color w:val="24231E"/>
          <w:sz w:val="22"/>
          <w:szCs w:val="22"/>
        </w:rPr>
        <w:t xml:space="preserve"> from the Weizmann Institute, co-founders of </w:t>
      </w:r>
      <w:proofErr w:type="spellStart"/>
      <w:r w:rsidRPr="000C65C6">
        <w:rPr>
          <w:rFonts w:ascii="Calibri" w:hAnsi="Calibri"/>
          <w:bCs/>
          <w:color w:val="24231E"/>
          <w:sz w:val="22"/>
          <w:szCs w:val="22"/>
        </w:rPr>
        <w:t>DayTwo</w:t>
      </w:r>
      <w:proofErr w:type="spellEnd"/>
      <w:r w:rsidRPr="000C65C6">
        <w:rPr>
          <w:rFonts w:ascii="Calibri" w:hAnsi="Calibri"/>
          <w:bCs/>
          <w:color w:val="24231E"/>
          <w:sz w:val="22"/>
          <w:szCs w:val="22"/>
        </w:rPr>
        <w:t xml:space="preserve">, and perform clinical trials to expand the current product to additional target populations, as well as to develop new products based on the microbiome. The company is currently raising a Series </w:t>
      </w:r>
      <w:proofErr w:type="gramStart"/>
      <w:r w:rsidRPr="000C65C6">
        <w:rPr>
          <w:rFonts w:ascii="Calibri" w:hAnsi="Calibri"/>
          <w:bCs/>
          <w:color w:val="24231E"/>
          <w:sz w:val="22"/>
          <w:szCs w:val="22"/>
        </w:rPr>
        <w:t>A</w:t>
      </w:r>
      <w:proofErr w:type="gramEnd"/>
      <w:r w:rsidRPr="000C65C6">
        <w:rPr>
          <w:rFonts w:ascii="Calibri" w:hAnsi="Calibri"/>
          <w:bCs/>
          <w:color w:val="24231E"/>
          <w:sz w:val="22"/>
          <w:szCs w:val="22"/>
        </w:rPr>
        <w:t xml:space="preserve"> round.</w:t>
      </w:r>
    </w:p>
    <w:p w:rsidR="00625283" w:rsidRDefault="001E653C"/>
    <w:sectPr w:rsidR="006252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C568994"/>
    <w:lvl w:ilvl="0" w:tplc="7272124E">
      <w:start w:val="1"/>
      <w:numFmt w:val="bullet"/>
      <w:lvlText w:val=""/>
      <w:lvlJc w:val="left"/>
      <w:pPr>
        <w:ind w:left="1080" w:hanging="360"/>
      </w:pPr>
      <w:rPr>
        <w:rFonts w:ascii="Symbol" w:hAnsi="Symbol" w:hint="default"/>
      </w:rPr>
    </w:lvl>
    <w:lvl w:ilvl="1" w:tplc="97DECEEA" w:tentative="1">
      <w:start w:val="1"/>
      <w:numFmt w:val="bullet"/>
      <w:lvlText w:val="o"/>
      <w:lvlJc w:val="left"/>
      <w:pPr>
        <w:ind w:left="1800" w:hanging="360"/>
      </w:pPr>
      <w:rPr>
        <w:rFonts w:ascii="Courier New" w:hAnsi="Courier New" w:cs="Courier New" w:hint="default"/>
      </w:rPr>
    </w:lvl>
    <w:lvl w:ilvl="2" w:tplc="633683F8" w:tentative="1">
      <w:start w:val="1"/>
      <w:numFmt w:val="bullet"/>
      <w:lvlText w:val=""/>
      <w:lvlJc w:val="left"/>
      <w:pPr>
        <w:ind w:left="2520" w:hanging="360"/>
      </w:pPr>
      <w:rPr>
        <w:rFonts w:ascii="Wingdings" w:hAnsi="Wingdings" w:hint="default"/>
      </w:rPr>
    </w:lvl>
    <w:lvl w:ilvl="3" w:tplc="2D9641B0" w:tentative="1">
      <w:start w:val="1"/>
      <w:numFmt w:val="bullet"/>
      <w:lvlText w:val=""/>
      <w:lvlJc w:val="left"/>
      <w:pPr>
        <w:ind w:left="3240" w:hanging="360"/>
      </w:pPr>
      <w:rPr>
        <w:rFonts w:ascii="Symbol" w:hAnsi="Symbol" w:hint="default"/>
      </w:rPr>
    </w:lvl>
    <w:lvl w:ilvl="4" w:tplc="60CE29A2" w:tentative="1">
      <w:start w:val="1"/>
      <w:numFmt w:val="bullet"/>
      <w:lvlText w:val="o"/>
      <w:lvlJc w:val="left"/>
      <w:pPr>
        <w:ind w:left="3960" w:hanging="360"/>
      </w:pPr>
      <w:rPr>
        <w:rFonts w:ascii="Courier New" w:hAnsi="Courier New" w:cs="Courier New" w:hint="default"/>
      </w:rPr>
    </w:lvl>
    <w:lvl w:ilvl="5" w:tplc="A8AC3906" w:tentative="1">
      <w:start w:val="1"/>
      <w:numFmt w:val="bullet"/>
      <w:lvlText w:val=""/>
      <w:lvlJc w:val="left"/>
      <w:pPr>
        <w:ind w:left="4680" w:hanging="360"/>
      </w:pPr>
      <w:rPr>
        <w:rFonts w:ascii="Wingdings" w:hAnsi="Wingdings" w:hint="default"/>
      </w:rPr>
    </w:lvl>
    <w:lvl w:ilvl="6" w:tplc="1262976C" w:tentative="1">
      <w:start w:val="1"/>
      <w:numFmt w:val="bullet"/>
      <w:lvlText w:val=""/>
      <w:lvlJc w:val="left"/>
      <w:pPr>
        <w:ind w:left="5400" w:hanging="360"/>
      </w:pPr>
      <w:rPr>
        <w:rFonts w:ascii="Symbol" w:hAnsi="Symbol" w:hint="default"/>
      </w:rPr>
    </w:lvl>
    <w:lvl w:ilvl="7" w:tplc="837CB9C2" w:tentative="1">
      <w:start w:val="1"/>
      <w:numFmt w:val="bullet"/>
      <w:lvlText w:val="o"/>
      <w:lvlJc w:val="left"/>
      <w:pPr>
        <w:ind w:left="6120" w:hanging="360"/>
      </w:pPr>
      <w:rPr>
        <w:rFonts w:ascii="Courier New" w:hAnsi="Courier New" w:cs="Courier New" w:hint="default"/>
      </w:rPr>
    </w:lvl>
    <w:lvl w:ilvl="8" w:tplc="E4288E68"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53C"/>
    <w:rsid w:val="001E653C"/>
    <w:rsid w:val="00357095"/>
    <w:rsid w:val="007476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3E0A1-251D-40FE-A177-6455A5F5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E653C"/>
    <w:rPr>
      <w:b/>
      <w:bCs/>
    </w:rPr>
  </w:style>
  <w:style w:type="paragraph" w:styleId="NormalWeb">
    <w:name w:val="Normal (Web)"/>
    <w:basedOn w:val="Normal"/>
    <w:rsid w:val="001E653C"/>
    <w:pPr>
      <w:spacing w:after="0" w:line="240" w:lineRule="auto"/>
    </w:pPr>
    <w:rPr>
      <w:rFonts w:ascii="Times New Roman" w:eastAsia="Times New Roman" w:hAnsi="Times New Roman" w:cs="Times New Roman"/>
      <w:sz w:val="24"/>
      <w:szCs w:val="24"/>
    </w:rPr>
  </w:style>
  <w:style w:type="paragraph" w:customStyle="1" w:styleId="Normal0">
    <w:name w:val="Normal_0"/>
    <w:qFormat/>
    <w:rsid w:val="001E653C"/>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Gelderbloem</dc:creator>
  <cp:keywords/>
  <dc:description/>
  <cp:lastModifiedBy>Chantal Gelderbloem</cp:lastModifiedBy>
  <cp:revision>1</cp:revision>
  <dcterms:created xsi:type="dcterms:W3CDTF">2016-05-29T06:36:00Z</dcterms:created>
  <dcterms:modified xsi:type="dcterms:W3CDTF">2016-05-29T06:37:00Z</dcterms:modified>
</cp:coreProperties>
</file>