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8F" w:rsidRPr="009B55DA" w:rsidRDefault="0044188F" w:rsidP="0044188F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366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MBCURE OVERVIEW</w:t>
      </w:r>
    </w:p>
    <w:p w:rsidR="0044188F" w:rsidRPr="009B55DA" w:rsidRDefault="0044188F" w:rsidP="0044188F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 xml:space="preserve"> TARGETED MICROBIOME MODULATION</w:t>
      </w:r>
    </w:p>
    <w:p w:rsidR="0044188F" w:rsidRDefault="0044188F" w:rsidP="0044188F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44188F" w:rsidRPr="009B55DA" w:rsidRDefault="0044188F" w:rsidP="0044188F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Naomi  Zak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Mbcure</w:t>
      </w:r>
    </w:p>
    <w:p w:rsidR="0044188F" w:rsidRDefault="0044188F" w:rsidP="0044188F">
      <w:pPr>
        <w:pStyle w:val="Normal0"/>
        <w:rPr>
          <w:rFonts w:ascii="Calibri" w:eastAsia="Calibri" w:hAnsi="Calibri" w:cs="Segoe UI"/>
          <w:color w:val="333333"/>
          <w:sz w:val="22"/>
          <w:szCs w:val="22"/>
        </w:rPr>
      </w:pPr>
    </w:p>
    <w:p w:rsidR="0044188F" w:rsidRPr="00330003" w:rsidRDefault="0044188F" w:rsidP="0044188F">
      <w:pPr>
        <w:pStyle w:val="Normal0"/>
        <w:spacing w:line="360" w:lineRule="auto"/>
        <w:jc w:val="both"/>
        <w:rPr>
          <w:rStyle w:val="ft"/>
          <w:rFonts w:ascii="Calibri" w:eastAsia="Calibri" w:hAnsi="Calibri"/>
          <w:sz w:val="22"/>
          <w:szCs w:val="22"/>
        </w:rPr>
      </w:pPr>
      <w:bookmarkStart w:id="0" w:name="_GoBack"/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MBcure</w:t>
      </w:r>
      <w:bookmarkEnd w:id="0"/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is a biopharmaceutical company aiming to develop bacteriophage-based therapies for the treatment and prevention of diseases stemming from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dysbiosis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of the microbiome. The company is financed by a syndicate of Johnson &amp; Johnson Innovation – JJDC, Takeda Pharmaceutical Company through its venture group Takeda Ventures Inc.,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OrbiMed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Israel Partners and the Israel Office of the Chief Scientist.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MBcure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operates in the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FutuRx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biotech incubator in Ness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Ziona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>.</w:t>
      </w:r>
    </w:p>
    <w:p w:rsidR="0044188F" w:rsidRPr="00330003" w:rsidRDefault="0044188F" w:rsidP="0044188F">
      <w:pPr>
        <w:pStyle w:val="Normal0"/>
        <w:spacing w:line="360" w:lineRule="auto"/>
        <w:jc w:val="both"/>
        <w:rPr>
          <w:rStyle w:val="ft"/>
          <w:rFonts w:ascii="Calibri" w:eastAsia="Calibri" w:hAnsi="Calibri"/>
          <w:sz w:val="22"/>
          <w:szCs w:val="22"/>
        </w:rPr>
      </w:pPr>
      <w:r w:rsidRPr="00330003">
        <w:rPr>
          <w:rStyle w:val="ft"/>
          <w:rFonts w:ascii="Calibri" w:eastAsia="Calibri" w:hAnsi="Calibri"/>
          <w:sz w:val="22"/>
          <w:szCs w:val="22"/>
        </w:rPr>
        <w:t xml:space="preserve">The company's mission is to establish a platform for the rapid identification, validation, preclinical and clinical development of bacteria-specific phage cocktails for directed microbiome modulation. The phage drug will carry out targeted suppression of disease-associated gut bacteria demonstrated to cause or exacerbate disease. </w:t>
      </w:r>
    </w:p>
    <w:p w:rsidR="0044188F" w:rsidRDefault="0044188F" w:rsidP="0044188F">
      <w:pPr>
        <w:pStyle w:val="Normal0"/>
        <w:spacing w:line="360" w:lineRule="auto"/>
        <w:jc w:val="both"/>
        <w:rPr>
          <w:rStyle w:val="ft"/>
          <w:rFonts w:ascii="Calibri" w:eastAsia="Calibri" w:hAnsi="Calibri"/>
          <w:sz w:val="22"/>
          <w:szCs w:val="22"/>
        </w:rPr>
      </w:pP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MBcure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benefits from the expertise of its scientific founders, Prof.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Rotem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Sorek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and Dr.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Eran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</w:t>
      </w:r>
      <w:proofErr w:type="spellStart"/>
      <w:r w:rsidRPr="00330003">
        <w:rPr>
          <w:rStyle w:val="ft"/>
          <w:rFonts w:ascii="Calibri" w:eastAsia="Calibri" w:hAnsi="Calibri"/>
          <w:sz w:val="22"/>
          <w:szCs w:val="22"/>
        </w:rPr>
        <w:t>Elinav</w:t>
      </w:r>
      <w:proofErr w:type="spellEnd"/>
      <w:r w:rsidRPr="00330003">
        <w:rPr>
          <w:rStyle w:val="ft"/>
          <w:rFonts w:ascii="Calibri" w:eastAsia="Calibri" w:hAnsi="Calibri"/>
          <w:sz w:val="22"/>
          <w:szCs w:val="22"/>
        </w:rPr>
        <w:t xml:space="preserve"> of the nearby Weizmann Institute, and from the advanced infrastructural capabilities in their laboratories, which include high-throughput phage discovery, sequencing and analysis capabilities as well as a ‘germ-free’ mouse facility for generation of controlled microbiome-dependent disease models. </w:t>
      </w:r>
    </w:p>
    <w:p w:rsidR="0044188F" w:rsidRDefault="0044188F" w:rsidP="0044188F">
      <w:pPr>
        <w:pStyle w:val="Normal0"/>
        <w:spacing w:line="360" w:lineRule="auto"/>
        <w:jc w:val="both"/>
        <w:rPr>
          <w:rStyle w:val="ft"/>
          <w:rFonts w:ascii="Calibri" w:eastAsia="Calibri" w:hAnsi="Calibri"/>
          <w:sz w:val="22"/>
          <w:szCs w:val="22"/>
        </w:rPr>
      </w:pPr>
    </w:p>
    <w:p w:rsidR="00625283" w:rsidRDefault="0044188F"/>
    <w:sectPr w:rsidR="0062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8F"/>
    <w:rsid w:val="00357095"/>
    <w:rsid w:val="0044188F"/>
    <w:rsid w:val="007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C5BDC-397D-4258-AD21-3973250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188F"/>
    <w:rPr>
      <w:b/>
      <w:bCs/>
    </w:rPr>
  </w:style>
  <w:style w:type="paragraph" w:styleId="NormalWeb">
    <w:name w:val="Normal (Web)"/>
    <w:basedOn w:val="Normal"/>
    <w:rsid w:val="0044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44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t">
    <w:name w:val="ft"/>
    <w:basedOn w:val="DefaultParagraphFont"/>
    <w:rsid w:val="004418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2016-05-29T06:40:00Z</dcterms:created>
  <dcterms:modified xsi:type="dcterms:W3CDTF">2016-05-29T06:40:00Z</dcterms:modified>
</cp:coreProperties>
</file>