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EC" w:rsidRPr="009B55DA" w:rsidRDefault="004965EC" w:rsidP="004965EC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224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OBJECTIVE PAIN</w:t>
      </w:r>
      <w:r w:rsidRPr="009B55DA">
        <w:rPr>
          <w:rStyle w:val="Strong"/>
          <w:rFonts w:ascii="Calibri" w:hAnsi="Calibri"/>
          <w:sz w:val="22"/>
          <w:szCs w:val="22"/>
        </w:rPr>
        <w:t xml:space="preserve"> MONITORING</w:t>
      </w:r>
    </w:p>
    <w:p w:rsidR="004965EC" w:rsidRDefault="004965EC" w:rsidP="004965EC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4965EC" w:rsidRPr="009B55DA" w:rsidRDefault="004965EC" w:rsidP="004965EC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</w:rPr>
        <w:t>Mira Altmark-Sofer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1</w:t>
      </w:r>
    </w:p>
    <w:p w:rsidR="004965EC" w:rsidRDefault="004965EC" w:rsidP="004965EC">
      <w:pPr>
        <w:pStyle w:val="a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FE7905">
        <w:rPr>
          <w:rFonts w:ascii="Calibri" w:hAnsi="Calibri"/>
          <w:color w:val="24231E"/>
          <w:sz w:val="22"/>
          <w:szCs w:val="22"/>
        </w:rPr>
        <w:t xml:space="preserve"> </w:t>
      </w:r>
    </w:p>
    <w:p w:rsidR="004965EC" w:rsidRDefault="004965EC" w:rsidP="004965EC">
      <w:pPr>
        <w:pStyle w:val="a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color w:val="24231E"/>
          <w:sz w:val="22"/>
          <w:szCs w:val="22"/>
        </w:rPr>
        <w:t xml:space="preserve">Pain is the most common reason for medical consultation with associated healthcare costs exceed $600 billion. Still, there are no clinically accepted tools to objectively assess pain. </w:t>
      </w:r>
      <w:proofErr w:type="spellStart"/>
      <w:r w:rsidRPr="00FE7905">
        <w:rPr>
          <w:rFonts w:ascii="Calibri" w:hAnsi="Calibri"/>
          <w:color w:val="24231E"/>
          <w:sz w:val="22"/>
          <w:szCs w:val="22"/>
        </w:rPr>
        <w:t>Medasense</w:t>
      </w:r>
      <w:proofErr w:type="spellEnd"/>
      <w:r w:rsidRPr="00FE7905">
        <w:rPr>
          <w:rFonts w:ascii="Calibri" w:hAnsi="Calibri"/>
          <w:color w:val="24231E"/>
          <w:sz w:val="22"/>
          <w:szCs w:val="22"/>
        </w:rPr>
        <w:t xml:space="preserve"> has developed a proprietary platform-technology to objectively assess pain aiming to improve clinical outcomes. The patented, scientifically validated technology will be commercialized in Q4/2016, initially for the critical care setting.  </w:t>
      </w:r>
      <w:r w:rsidRPr="00FE7905">
        <w:rPr>
          <w:rFonts w:ascii="Calibri" w:hAnsi="Calibri"/>
          <w:color w:val="24231E"/>
          <w:sz w:val="22"/>
          <w:szCs w:val="22"/>
        </w:rPr>
        <w:br/>
      </w:r>
    </w:p>
    <w:p w:rsidR="004965EC" w:rsidRPr="00FE7905" w:rsidRDefault="004965EC" w:rsidP="004965EC">
      <w:pPr>
        <w:pStyle w:val="a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</w:p>
    <w:p w:rsidR="004965EC" w:rsidRDefault="004965EC" w:rsidP="004965EC">
      <w:pPr>
        <w:pStyle w:val="a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FE7905">
        <w:rPr>
          <w:rFonts w:ascii="Calibri" w:hAnsi="Calibri"/>
          <w:color w:val="24231E"/>
          <w:sz w:val="22"/>
          <w:szCs w:val="22"/>
        </w:rPr>
        <w:t>Medasense</w:t>
      </w:r>
      <w:proofErr w:type="spellEnd"/>
      <w:r w:rsidRPr="00FE7905">
        <w:rPr>
          <w:rFonts w:ascii="Calibri" w:hAnsi="Calibri"/>
          <w:color w:val="24231E"/>
          <w:sz w:val="22"/>
          <w:szCs w:val="22"/>
        </w:rPr>
        <w:t xml:space="preserve"> is initially targeting the $4 Billion hospital critical care market.  Short-term revenues will be generated from selling </w:t>
      </w:r>
      <w:proofErr w:type="spellStart"/>
      <w:r w:rsidRPr="00FE7905">
        <w:rPr>
          <w:rFonts w:ascii="Calibri" w:hAnsi="Calibri"/>
          <w:color w:val="24231E"/>
          <w:sz w:val="22"/>
          <w:szCs w:val="22"/>
        </w:rPr>
        <w:t>Medasense's</w:t>
      </w:r>
      <w:proofErr w:type="spellEnd"/>
      <w:r w:rsidRPr="00FE7905">
        <w:rPr>
          <w:rFonts w:ascii="Calibri" w:hAnsi="Calibri"/>
          <w:color w:val="24231E"/>
          <w:sz w:val="22"/>
          <w:szCs w:val="22"/>
        </w:rPr>
        <w:t xml:space="preserve"> proprietary PMD-200 monitor and single-use probes. Medium-term products will support module integration into third-party patient monitoring/infusion-pump systems (strategic licensing/marketing partnerships revenues). Long-term applications will target outpatient and homecare settings.</w:t>
      </w:r>
      <w:r w:rsidRPr="00FE7905">
        <w:rPr>
          <w:rFonts w:ascii="Calibri" w:hAnsi="Calibri"/>
          <w:color w:val="24231E"/>
          <w:sz w:val="22"/>
          <w:szCs w:val="22"/>
        </w:rPr>
        <w:br/>
      </w:r>
    </w:p>
    <w:p w:rsidR="004965EC" w:rsidRPr="00FE7905" w:rsidRDefault="004965EC" w:rsidP="004965EC">
      <w:pPr>
        <w:pStyle w:val="a"/>
        <w:numPr>
          <w:ilvl w:val="0"/>
          <w:numId w:val="3"/>
        </w:numPr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FE7905">
        <w:rPr>
          <w:rFonts w:ascii="Calibri" w:hAnsi="Calibri"/>
          <w:color w:val="24231E"/>
          <w:sz w:val="22"/>
          <w:szCs w:val="22"/>
        </w:rPr>
        <w:t xml:space="preserve"> </w:t>
      </w:r>
      <w:r w:rsidRPr="00FE7905">
        <w:rPr>
          <w:rFonts w:ascii="Calibri" w:hAnsi="Calibri"/>
          <w:color w:val="24231E"/>
          <w:sz w:val="22"/>
          <w:szCs w:val="22"/>
        </w:rPr>
        <w:br/>
        <w:t xml:space="preserve">Considering the complex nature of pain, </w:t>
      </w:r>
      <w:bookmarkStart w:id="0" w:name="_GoBack"/>
      <w:proofErr w:type="spellStart"/>
      <w:r w:rsidRPr="00FE7905">
        <w:rPr>
          <w:rFonts w:ascii="Calibri" w:hAnsi="Calibri"/>
          <w:color w:val="24231E"/>
          <w:sz w:val="22"/>
          <w:szCs w:val="22"/>
        </w:rPr>
        <w:t>Medasense</w:t>
      </w:r>
      <w:bookmarkEnd w:id="0"/>
      <w:proofErr w:type="spellEnd"/>
      <w:r w:rsidRPr="00FE7905">
        <w:rPr>
          <w:rFonts w:ascii="Calibri" w:hAnsi="Calibri"/>
          <w:color w:val="24231E"/>
          <w:sz w:val="22"/>
          <w:szCs w:val="22"/>
        </w:rPr>
        <w:t xml:space="preserve"> technology uses a unique multi-parametric approach and advanced statistical modeling (a proprietary artificial-intelligence algorithms) to convert complicated data into a patient's “Signature of Pain”- a real-time pain Index which enables clinicians to personalize and optimize pain medication treatment and thus improve patient outcomes. </w:t>
      </w:r>
    </w:p>
    <w:p w:rsidR="004965EC" w:rsidRPr="00FE7905" w:rsidRDefault="004965EC" w:rsidP="004965EC">
      <w:pPr>
        <w:pStyle w:val="a"/>
        <w:spacing w:before="100" w:beforeAutospacing="1" w:after="100" w:afterAutospacing="1" w:line="255" w:lineRule="atLeast"/>
        <w:ind w:left="720"/>
        <w:rPr>
          <w:rFonts w:ascii="Calibri" w:hAnsi="Calibri"/>
          <w:color w:val="24231E"/>
          <w:sz w:val="22"/>
          <w:szCs w:val="22"/>
        </w:rPr>
      </w:pPr>
    </w:p>
    <w:p w:rsidR="004965EC" w:rsidRPr="00FE7905" w:rsidRDefault="004965EC" w:rsidP="004965EC">
      <w:pPr>
        <w:pStyle w:val="a"/>
        <w:numPr>
          <w:ilvl w:val="0"/>
          <w:numId w:val="3"/>
        </w:numPr>
        <w:rPr>
          <w:rFonts w:ascii="Calibri" w:hAnsi="Calibri"/>
          <w:color w:val="24231E"/>
          <w:sz w:val="22"/>
          <w:szCs w:val="22"/>
        </w:rPr>
      </w:pPr>
      <w:r w:rsidRPr="00FE7905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FE7905">
        <w:rPr>
          <w:rFonts w:ascii="Calibri" w:hAnsi="Calibri"/>
          <w:color w:val="24231E"/>
          <w:sz w:val="22"/>
          <w:szCs w:val="22"/>
        </w:rPr>
        <w:t xml:space="preserve"> </w:t>
      </w:r>
      <w:r w:rsidRPr="00FE7905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FE7905">
        <w:rPr>
          <w:rFonts w:ascii="Calibri" w:hAnsi="Calibri"/>
          <w:color w:val="24231E"/>
          <w:sz w:val="22"/>
          <w:szCs w:val="22"/>
        </w:rPr>
        <w:t>Medasense's</w:t>
      </w:r>
      <w:proofErr w:type="spellEnd"/>
      <w:r w:rsidRPr="00FE7905">
        <w:rPr>
          <w:rFonts w:ascii="Calibri" w:hAnsi="Calibri"/>
          <w:color w:val="24231E"/>
          <w:sz w:val="22"/>
          <w:szCs w:val="22"/>
        </w:rPr>
        <w:t xml:space="preserve"> flagship product "PMD-200™" is an objective pain monitoring system for </w:t>
      </w:r>
      <w:r>
        <w:rPr>
          <w:rFonts w:ascii="Calibri" w:hAnsi="Calibri"/>
          <w:color w:val="24231E"/>
          <w:sz w:val="22"/>
          <w:szCs w:val="22"/>
        </w:rPr>
        <w:t>the critical care</w:t>
      </w:r>
      <w:r w:rsidRPr="00FE7905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setting </w:t>
      </w:r>
      <w:r w:rsidRPr="00FE7905">
        <w:rPr>
          <w:rFonts w:ascii="Calibri" w:hAnsi="Calibri"/>
          <w:color w:val="24231E"/>
          <w:sz w:val="22"/>
          <w:szCs w:val="22"/>
        </w:rPr>
        <w:t>(</w:t>
      </w:r>
      <w:r>
        <w:rPr>
          <w:rFonts w:ascii="Calibri" w:hAnsi="Calibri"/>
          <w:color w:val="24231E"/>
          <w:sz w:val="22"/>
          <w:szCs w:val="22"/>
        </w:rPr>
        <w:t xml:space="preserve">where </w:t>
      </w:r>
      <w:r w:rsidRPr="00FE7905">
        <w:rPr>
          <w:rFonts w:ascii="Calibri" w:hAnsi="Calibri"/>
          <w:color w:val="24231E"/>
          <w:sz w:val="22"/>
          <w:szCs w:val="22"/>
        </w:rPr>
        <w:t xml:space="preserve">patients under general anesthesia </w:t>
      </w:r>
      <w:r>
        <w:rPr>
          <w:rFonts w:ascii="Calibri" w:hAnsi="Calibri"/>
          <w:color w:val="24231E"/>
          <w:sz w:val="22"/>
          <w:szCs w:val="22"/>
        </w:rPr>
        <w:t>can't</w:t>
      </w:r>
      <w:r w:rsidRPr="00FE7905">
        <w:rPr>
          <w:rFonts w:ascii="Calibri" w:hAnsi="Calibri"/>
          <w:color w:val="24231E"/>
          <w:sz w:val="22"/>
          <w:szCs w:val="22"/>
        </w:rPr>
        <w:t xml:space="preserve"> communicate their pain). </w:t>
      </w:r>
      <w:r>
        <w:rPr>
          <w:rFonts w:ascii="Calibri" w:hAnsi="Calibri"/>
          <w:color w:val="24231E"/>
          <w:sz w:val="22"/>
          <w:szCs w:val="22"/>
        </w:rPr>
        <w:t>It</w:t>
      </w:r>
      <w:r w:rsidRPr="00FE7905">
        <w:rPr>
          <w:rFonts w:ascii="Calibri" w:hAnsi="Calibri"/>
          <w:color w:val="24231E"/>
          <w:sz w:val="22"/>
          <w:szCs w:val="22"/>
        </w:rPr>
        <w:t xml:space="preserve"> consists of a non-invasive finger probe and the PMD-200™ monitor, which uses a composite algorithm to determine an individual’s pain </w:t>
      </w:r>
      <w:r>
        <w:rPr>
          <w:rFonts w:ascii="Calibri" w:hAnsi="Calibri"/>
          <w:color w:val="24231E"/>
          <w:sz w:val="22"/>
          <w:szCs w:val="22"/>
        </w:rPr>
        <w:t>index</w:t>
      </w:r>
      <w:r w:rsidRPr="00FE7905">
        <w:rPr>
          <w:rFonts w:ascii="Calibri" w:hAnsi="Calibri"/>
          <w:color w:val="24231E"/>
          <w:sz w:val="22"/>
          <w:szCs w:val="22"/>
        </w:rPr>
        <w:t>.</w:t>
      </w:r>
      <w:r w:rsidRPr="00FE7905">
        <w:rPr>
          <w:rFonts w:ascii="Calibri" w:eastAsia="Calibri" w:hAnsi="Calibri"/>
        </w:rPr>
        <w:t xml:space="preserve"> </w:t>
      </w:r>
      <w:r w:rsidRPr="00FE7905">
        <w:rPr>
          <w:rFonts w:ascii="Calibri" w:hAnsi="Calibri"/>
          <w:color w:val="24231E"/>
          <w:sz w:val="22"/>
          <w:szCs w:val="22"/>
        </w:rPr>
        <w:t xml:space="preserve">The </w:t>
      </w:r>
      <w:r>
        <w:rPr>
          <w:rFonts w:ascii="Calibri" w:hAnsi="Calibri"/>
          <w:color w:val="24231E"/>
          <w:sz w:val="22"/>
          <w:szCs w:val="22"/>
        </w:rPr>
        <w:t>system was</w:t>
      </w:r>
      <w:r w:rsidRPr="00FE7905">
        <w:rPr>
          <w:rFonts w:ascii="Calibri" w:hAnsi="Calibri"/>
          <w:color w:val="24231E"/>
          <w:sz w:val="22"/>
          <w:szCs w:val="22"/>
        </w:rPr>
        <w:t xml:space="preserve"> proven to be more accurate than any other commercial technology available. </w:t>
      </w:r>
    </w:p>
    <w:p w:rsidR="004965EC" w:rsidRPr="00FE7905" w:rsidRDefault="004965EC" w:rsidP="004965EC">
      <w:pPr>
        <w:pStyle w:val="a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</w:p>
    <w:p w:rsidR="004965EC" w:rsidRDefault="004965EC" w:rsidP="004965EC">
      <w:pPr>
        <w:pStyle w:val="a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051132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051132">
        <w:rPr>
          <w:rFonts w:ascii="Calibri" w:hAnsi="Calibri"/>
          <w:color w:val="24231E"/>
          <w:sz w:val="22"/>
          <w:szCs w:val="22"/>
        </w:rPr>
        <w:t xml:space="preserve"> </w:t>
      </w:r>
      <w:r w:rsidRPr="00051132">
        <w:rPr>
          <w:rFonts w:ascii="Calibri" w:hAnsi="Calibri"/>
          <w:color w:val="24231E"/>
          <w:sz w:val="22"/>
          <w:szCs w:val="22"/>
        </w:rPr>
        <w:br/>
      </w:r>
      <w:r w:rsidRPr="00051132">
        <w:rPr>
          <w:rFonts w:ascii="Calibri" w:eastAsia="Calibri" w:hAnsi="Calibri"/>
          <w:sz w:val="22"/>
          <w:szCs w:val="22"/>
        </w:rPr>
        <w:t>Short-term goals (2 years): Clinical efforts will concentrate  on expanding clinical validation and usability studies, getting a CE mark for the PMD-200 system (for the critical care setting) followed by FDA submission. Marketing efforts will concentrate on pilot marketing in beta-sites and sales in Europe. R&amp;D efforts will concentrate on expanding product applications and technology miniaturization.</w:t>
      </w:r>
    </w:p>
    <w:p w:rsidR="004965EC" w:rsidRDefault="004965EC" w:rsidP="004965EC">
      <w:pPr>
        <w:pStyle w:val="a"/>
        <w:rPr>
          <w:rFonts w:ascii="Calibri" w:eastAsia="Calibri" w:hAnsi="Calibri"/>
          <w:sz w:val="22"/>
          <w:szCs w:val="22"/>
        </w:rPr>
      </w:pPr>
    </w:p>
    <w:p w:rsidR="00BB443B" w:rsidRPr="004965EC" w:rsidRDefault="00BB443B"/>
    <w:sectPr w:rsidR="00BB443B" w:rsidRPr="004965EC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A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B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C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EC"/>
    <w:rsid w:val="004965EC"/>
    <w:rsid w:val="006C6F2B"/>
    <w:rsid w:val="00B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FEEC-7A4B-4539-9624-372F12E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65EC"/>
    <w:rPr>
      <w:b/>
      <w:bCs/>
    </w:rPr>
  </w:style>
  <w:style w:type="paragraph" w:styleId="NormalWeb">
    <w:name w:val="Normal (Web)"/>
    <w:basedOn w:val="Normal"/>
    <w:rsid w:val="004965E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רגיל"/>
    <w:qFormat/>
    <w:rsid w:val="0049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2016-05-25T18:07:00Z</dcterms:created>
  <dcterms:modified xsi:type="dcterms:W3CDTF">2016-05-25T18:07:00Z</dcterms:modified>
</cp:coreProperties>
</file>